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1CA5" w14:textId="77777777" w:rsidR="00340F8E" w:rsidRPr="00340F8E" w:rsidRDefault="00340F8E" w:rsidP="00340F8E">
      <w:pPr>
        <w:spacing w:line="240" w:lineRule="auto"/>
        <w:rPr>
          <w:rFonts w:ascii="Arial" w:hAnsi="Arial" w:cs="Arial"/>
          <w:sz w:val="20"/>
          <w:szCs w:val="20"/>
        </w:rPr>
      </w:pPr>
      <w:r w:rsidRPr="00340F8E">
        <w:rPr>
          <w:rFonts w:ascii="Arial" w:hAnsi="Arial" w:cs="Arial"/>
          <w:b/>
          <w:bCs/>
          <w:sz w:val="20"/>
          <w:szCs w:val="20"/>
        </w:rPr>
        <w:t>GENERAL CONDITIONS:</w:t>
      </w:r>
    </w:p>
    <w:p w14:paraId="6CAE9658" w14:textId="7E29FA3F"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The Castrol SCORE Rewards program is open to all Castrol Certified sales and sales manager employees of Castrol Automotive Ambassador/Premium Distributors who sign an Ambassador/Premier addendum. Membership and benefits in the Castrol SCORE Rewards Program are offered at the discretion of BP Lubricants USA Inc. and its affiliates, and BP Lubricants has the right to terminate the program, change the terms and conditions, regulations, policies, procedures, benefits, conditions of participation, or redemption levels, in whole or in part, at any time, with or without notice, even though the changes may affect the value of the points already accumulated. The Castrol Distributor Rewards Program outlined herein begins on January 1, 202</w:t>
      </w:r>
      <w:r w:rsidR="00D33597">
        <w:rPr>
          <w:rFonts w:ascii="Arial" w:hAnsi="Arial" w:cs="Arial"/>
          <w:sz w:val="20"/>
          <w:szCs w:val="20"/>
        </w:rPr>
        <w:t>5</w:t>
      </w:r>
      <w:r w:rsidRPr="00340F8E">
        <w:rPr>
          <w:rFonts w:ascii="Arial" w:hAnsi="Arial" w:cs="Arial"/>
          <w:sz w:val="20"/>
          <w:szCs w:val="20"/>
        </w:rPr>
        <w:t xml:space="preserve"> and will continue until December 31, 202</w:t>
      </w:r>
      <w:r w:rsidR="00D33597">
        <w:rPr>
          <w:rFonts w:ascii="Arial" w:hAnsi="Arial" w:cs="Arial"/>
          <w:sz w:val="20"/>
          <w:szCs w:val="20"/>
        </w:rPr>
        <w:t>5</w:t>
      </w:r>
      <w:r w:rsidRPr="00340F8E">
        <w:rPr>
          <w:rFonts w:ascii="Arial" w:hAnsi="Arial" w:cs="Arial"/>
          <w:sz w:val="20"/>
          <w:szCs w:val="20"/>
        </w:rPr>
        <w:t>. BP Lubricants may, among other things, withdraw, limit, modify, or cancel any award, increase the benefits, increase the number of points necessary for redemption, or limit the number and amount of points that may be obtained. All Distributors must be on TurfView to participate in the Program.</w:t>
      </w:r>
    </w:p>
    <w:p w14:paraId="00CA94D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Participation in the Castrol Distributor Rewards program is subject to any Program rules that BP Lubricants has announced. BP Lubricants has the sole right to interpret and apply the program rules. Any failure to follow Reward Program rules, any abuse of Reward Program privileges, any violation of law rule or regulation, any fraudulent activity, or misrepresentation of information furnished to BP Lubricants by any member or anyone acting on behalf of another member may result in the termination by BP Lubricants of that entities participation in the Rewards Program. Terminated members shall not be eligible to participate in any aspect of the Program.</w:t>
      </w:r>
    </w:p>
    <w:p w14:paraId="76BD0B71"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BP Lubricants reserves the right to audit any and all Castrol Distributor Rewards accounts at any time to ensure compliance with Program rules, without notice to the Program members. Each participant shall be responsible for remaining knowledgeable as to the Program rules, and the amount of points in such participants account. BP Lubricants shall attempt to advise active members of various matters of interest through such means that may be appropriate, such as account summaries, emails, newsletters, and its website. Each participant is responsible for advising BP Lubricants of any changes. The sale, barter, trading or transferring of any points accumulated in the Rewards Program is expressly prohibited. If any participating Distributor sells its business during the Rewards Program, accumulated points must be redeemed prior to the sale, they cannot be transferred to new owners or any other Rewards Program participants. BP Lubricants USA must be notified 60 days prior to a pending sale, or all accumulated points may be forfeited. Merchandise requests must be submitted prior to the final sale date.</w:t>
      </w:r>
    </w:p>
    <w:p w14:paraId="4D6CDA3F" w14:textId="77777777" w:rsidR="00340F8E" w:rsidRPr="00340F8E" w:rsidRDefault="00340F8E" w:rsidP="00340F8E">
      <w:pPr>
        <w:spacing w:line="240" w:lineRule="auto"/>
        <w:rPr>
          <w:rFonts w:ascii="Arial" w:hAnsi="Arial" w:cs="Arial"/>
          <w:sz w:val="20"/>
          <w:szCs w:val="20"/>
        </w:rPr>
      </w:pPr>
      <w:r w:rsidRPr="00340F8E">
        <w:rPr>
          <w:rFonts w:ascii="Arial" w:hAnsi="Arial" w:cs="Arial"/>
          <w:b/>
          <w:bCs/>
          <w:sz w:val="20"/>
          <w:szCs w:val="20"/>
        </w:rPr>
        <w:t>POINT ACCRUAL:</w:t>
      </w:r>
    </w:p>
    <w:p w14:paraId="63FD935A"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Points will be accrued only when participant avails themselves of the means of accrual recognized under the program. Earned points will be credited to participants account monthly. Points are accrued after the participant’s initial start date and can only be applied to the participants account. If BP Lubricants improperly denies a participant an accrual or benefit, liability will be limited to the equivalent of that benefit or accrual. BP Lubricants reserves the right to make bonus points or promotional offers available to certain participants based on activity, location or program participation, or other factors determined at BP Lubricants sole discretion. BP Lubricants will, in most cases credit its participants accounts with points within 30 days. When a participant contends that points have been earned but not credited, BP Lubricants may request proof of purchase from the participant. Any claims for uncredited points must be received by BP Lubricants within 6 months after the date such points were claimed to be earned. Points for any returned goods will be deducted from the participants account after a return is approved and completed. There is no limit to the total points a participant can accrue thru the program. Program Bonus and Product Point Values can be found in the Program Bonus and Product Value section of these Terms and Conditions. Castrol will make every attempt to deposit points based on accurate purchase data. Should an error in calculation occur, Castrol reserves the right to deduct any points necessary to bring an account into the proper standing with actual purchases.</w:t>
      </w:r>
    </w:p>
    <w:p w14:paraId="120AD630" w14:textId="77777777" w:rsidR="00340F8E" w:rsidRPr="00340F8E" w:rsidRDefault="00340F8E" w:rsidP="00340F8E">
      <w:pPr>
        <w:spacing w:line="240" w:lineRule="auto"/>
        <w:rPr>
          <w:rFonts w:ascii="Arial" w:hAnsi="Arial" w:cs="Arial"/>
          <w:sz w:val="20"/>
          <w:szCs w:val="20"/>
        </w:rPr>
      </w:pPr>
      <w:r w:rsidRPr="00340F8E">
        <w:rPr>
          <w:rFonts w:ascii="Arial" w:hAnsi="Arial" w:cs="Arial"/>
          <w:b/>
          <w:bCs/>
          <w:sz w:val="20"/>
          <w:szCs w:val="20"/>
        </w:rPr>
        <w:t>Merchandise Redemption:</w:t>
      </w:r>
    </w:p>
    <w:p w14:paraId="44C7B7E5"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 xml:space="preserve">Participants will be required to follow the merchandise redemption guidelines provided at the time of program participation. The merchandise available for redemption and the amount of points necessary to redeem each award will be set by BP Lubricants and published to all participants. BP Lubricants shall </w:t>
      </w:r>
      <w:r w:rsidRPr="00340F8E">
        <w:rPr>
          <w:rFonts w:ascii="Arial" w:hAnsi="Arial" w:cs="Arial"/>
          <w:sz w:val="20"/>
          <w:szCs w:val="20"/>
        </w:rPr>
        <w:lastRenderedPageBreak/>
        <w:t>establish the process for merchandise redemption, but redemption shall basically mean the exchange of points in a participants account for specific merchandise. Redemption of some merchandise may be subject to additional terms and conditions associated with particular merchandise. The merchandise structure is subject to modification, cancellation, or limitation at BP Lubricants discretion, with or without notice. The amount of points needed to redeem any merchandise, may be increased, or withdrawn at any time. Exchanges for merchandise already shipped may be accepted on an individual basis as long as merchandise remains in its original packaging. If you have any questions regarding program rules, redemptions or point issues please call the Castrol Distributor Rewards hotline at 1-866-601-0944. Any participant that leaves their employment with their Castrol Distributor will have 30 days from the date of their departure to spend their points.</w:t>
      </w:r>
    </w:p>
    <w:p w14:paraId="3CE69878" w14:textId="77777777" w:rsidR="00340F8E" w:rsidRPr="00340F8E" w:rsidRDefault="00340F8E" w:rsidP="00340F8E">
      <w:pPr>
        <w:spacing w:line="240" w:lineRule="auto"/>
        <w:rPr>
          <w:rFonts w:ascii="Arial" w:hAnsi="Arial" w:cs="Arial"/>
          <w:sz w:val="20"/>
          <w:szCs w:val="20"/>
        </w:rPr>
      </w:pPr>
      <w:r w:rsidRPr="00340F8E">
        <w:rPr>
          <w:rFonts w:ascii="Arial" w:hAnsi="Arial" w:cs="Arial"/>
          <w:b/>
          <w:bCs/>
          <w:sz w:val="20"/>
          <w:szCs w:val="20"/>
        </w:rPr>
        <w:t>LIMITATIONS OF LIABILITY:</w:t>
      </w:r>
    </w:p>
    <w:p w14:paraId="757409FC"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BP Lubricants USA Inc. and their agents are not responsible for any computer, on-line, telephone or technical malfunctions, delays or human errors that occur in the processing, transmission or receipt of claims or redemptions, or for inaccurate transcription of information, or delay by computer transmissions. If, for any reason, the Program is not capable of being conducted as planned, including but not limited to infection by computer virus, bugs, tampering, unauthorized intervention, fraud, technical failures, or other causes beyond the control of BP Lubricants., BP Lubricants reserves the right at their sole discretion to cancel, terminate, modify, or suspend the Program.</w:t>
      </w:r>
    </w:p>
    <w:p w14:paraId="7FAFF2F1" w14:textId="77777777" w:rsidR="00340F8E" w:rsidRPr="00340F8E" w:rsidRDefault="00340F8E" w:rsidP="00340F8E">
      <w:pPr>
        <w:spacing w:line="240" w:lineRule="auto"/>
        <w:rPr>
          <w:rFonts w:ascii="Arial" w:hAnsi="Arial" w:cs="Arial"/>
          <w:sz w:val="20"/>
          <w:szCs w:val="20"/>
        </w:rPr>
      </w:pPr>
      <w:r w:rsidRPr="00340F8E">
        <w:rPr>
          <w:rFonts w:ascii="Arial" w:hAnsi="Arial" w:cs="Arial"/>
          <w:b/>
          <w:bCs/>
          <w:sz w:val="20"/>
          <w:szCs w:val="20"/>
        </w:rPr>
        <w:t>PROGRAM ELIGIBILITY &amp; STATUSES:</w:t>
      </w:r>
    </w:p>
    <w:p w14:paraId="1C08050F"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Distributor Sales Representative (DSR) users will be assigned a SCORE Rewards Program Status based upon their sales performance as reported to the Installer Management Interface (IMI) as follows:</w:t>
      </w:r>
    </w:p>
    <w:p w14:paraId="7AB6CD83" w14:textId="41BAAF3B" w:rsidR="00340F8E" w:rsidRPr="00340F8E" w:rsidRDefault="00340F8E" w:rsidP="00340F8E">
      <w:pPr>
        <w:spacing w:line="240" w:lineRule="auto"/>
        <w:rPr>
          <w:rFonts w:ascii="Arial" w:hAnsi="Arial" w:cs="Arial"/>
          <w:sz w:val="20"/>
          <w:szCs w:val="20"/>
        </w:rPr>
      </w:pPr>
    </w:p>
    <w:p w14:paraId="51F71C37"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t>Platinum Status:</w:t>
      </w:r>
    </w:p>
    <w:p w14:paraId="435510ED" w14:textId="574246E1" w:rsidR="00340F8E" w:rsidRPr="00340F8E" w:rsidRDefault="00340F8E" w:rsidP="00340F8E">
      <w:pPr>
        <w:numPr>
          <w:ilvl w:val="0"/>
          <w:numId w:val="1"/>
        </w:numPr>
        <w:spacing w:line="240" w:lineRule="auto"/>
        <w:rPr>
          <w:rFonts w:ascii="Arial" w:hAnsi="Arial" w:cs="Arial"/>
          <w:sz w:val="20"/>
          <w:szCs w:val="20"/>
        </w:rPr>
      </w:pPr>
      <w:r w:rsidRPr="00340F8E">
        <w:rPr>
          <w:rFonts w:ascii="Arial" w:hAnsi="Arial" w:cs="Arial"/>
          <w:sz w:val="20"/>
          <w:szCs w:val="20"/>
        </w:rPr>
        <w:t>Platinum Status will be assigned to DSR users that have approved claims for accounts with purchases in the preceding 12 months totaling:</w:t>
      </w:r>
    </w:p>
    <w:p w14:paraId="31772133" w14:textId="77777777" w:rsidR="00340F8E" w:rsidRPr="00340F8E" w:rsidRDefault="00340F8E" w:rsidP="00340F8E">
      <w:pPr>
        <w:numPr>
          <w:ilvl w:val="1"/>
          <w:numId w:val="1"/>
        </w:numPr>
        <w:spacing w:line="240" w:lineRule="auto"/>
        <w:rPr>
          <w:rFonts w:ascii="Arial" w:hAnsi="Arial" w:cs="Arial"/>
          <w:sz w:val="20"/>
          <w:szCs w:val="20"/>
        </w:rPr>
      </w:pPr>
      <w:r w:rsidRPr="00340F8E">
        <w:rPr>
          <w:rFonts w:ascii="Arial" w:hAnsi="Arial" w:cs="Arial"/>
          <w:sz w:val="20"/>
          <w:szCs w:val="20"/>
        </w:rPr>
        <w:t>Over 75,000 Gallons of Total Volume </w:t>
      </w:r>
      <w:r w:rsidRPr="00340F8E">
        <w:rPr>
          <w:rFonts w:ascii="Arial" w:hAnsi="Arial" w:cs="Arial"/>
          <w:b/>
          <w:bCs/>
          <w:sz w:val="20"/>
          <w:szCs w:val="20"/>
          <w:u w:val="single"/>
        </w:rPr>
        <w:t>or</w:t>
      </w:r>
    </w:p>
    <w:p w14:paraId="424177D8" w14:textId="77777777" w:rsidR="00340F8E" w:rsidRPr="00340F8E" w:rsidRDefault="00340F8E" w:rsidP="00340F8E">
      <w:pPr>
        <w:numPr>
          <w:ilvl w:val="1"/>
          <w:numId w:val="1"/>
        </w:numPr>
        <w:spacing w:line="240" w:lineRule="auto"/>
        <w:rPr>
          <w:rFonts w:ascii="Arial" w:hAnsi="Arial" w:cs="Arial"/>
          <w:sz w:val="20"/>
          <w:szCs w:val="20"/>
        </w:rPr>
      </w:pPr>
      <w:r w:rsidRPr="00340F8E">
        <w:rPr>
          <w:rFonts w:ascii="Arial" w:hAnsi="Arial" w:cs="Arial"/>
          <w:sz w:val="20"/>
          <w:szCs w:val="20"/>
        </w:rPr>
        <w:t>Over 15,000 Gallons of Volume from New Accounts (i.e., accounts that are within their 12-month monitoring period for the New Account Signing Bonus).</w:t>
      </w:r>
    </w:p>
    <w:p w14:paraId="649F7CE6" w14:textId="77777777" w:rsidR="00340F8E" w:rsidRPr="00340F8E" w:rsidRDefault="00340F8E" w:rsidP="00340F8E">
      <w:pPr>
        <w:numPr>
          <w:ilvl w:val="0"/>
          <w:numId w:val="1"/>
        </w:numPr>
        <w:spacing w:line="240" w:lineRule="auto"/>
        <w:rPr>
          <w:rFonts w:ascii="Arial" w:hAnsi="Arial" w:cs="Arial"/>
          <w:sz w:val="20"/>
          <w:szCs w:val="20"/>
        </w:rPr>
      </w:pPr>
      <w:r w:rsidRPr="00340F8E">
        <w:rPr>
          <w:rFonts w:ascii="Arial" w:hAnsi="Arial" w:cs="Arial"/>
          <w:sz w:val="20"/>
          <w:szCs w:val="20"/>
        </w:rPr>
        <w:t>While assigned the Platinum Status, the DSR users will earn a 20% bonus for each transmittal of points to their account.</w:t>
      </w:r>
    </w:p>
    <w:p w14:paraId="55875ED1" w14:textId="77777777" w:rsidR="00340F8E" w:rsidRPr="00340F8E" w:rsidRDefault="00340F8E" w:rsidP="00340F8E">
      <w:pPr>
        <w:numPr>
          <w:ilvl w:val="0"/>
          <w:numId w:val="1"/>
        </w:numPr>
        <w:spacing w:line="240" w:lineRule="auto"/>
        <w:rPr>
          <w:rFonts w:ascii="Arial" w:hAnsi="Arial" w:cs="Arial"/>
          <w:sz w:val="20"/>
          <w:szCs w:val="20"/>
        </w:rPr>
      </w:pPr>
      <w:r w:rsidRPr="00340F8E">
        <w:rPr>
          <w:rFonts w:ascii="Arial" w:hAnsi="Arial" w:cs="Arial"/>
          <w:sz w:val="20"/>
          <w:szCs w:val="20"/>
        </w:rPr>
        <w:t>While assigned the Platinum Status, users will earn all points associated with volume-based promotions and New Account Bonuses without restrictions</w:t>
      </w:r>
    </w:p>
    <w:p w14:paraId="43A54E19" w14:textId="47D1522F" w:rsidR="00340F8E" w:rsidRPr="00340F8E" w:rsidRDefault="00340F8E" w:rsidP="00340F8E">
      <w:pPr>
        <w:numPr>
          <w:ilvl w:val="0"/>
          <w:numId w:val="1"/>
        </w:numPr>
        <w:spacing w:line="240" w:lineRule="auto"/>
        <w:rPr>
          <w:rFonts w:ascii="Arial" w:hAnsi="Arial" w:cs="Arial"/>
          <w:sz w:val="20"/>
          <w:szCs w:val="20"/>
        </w:rPr>
      </w:pPr>
      <w:r w:rsidRPr="00340F8E">
        <w:rPr>
          <w:rFonts w:ascii="Arial" w:hAnsi="Arial" w:cs="Arial"/>
          <w:sz w:val="20"/>
          <w:szCs w:val="20"/>
        </w:rPr>
        <w:t>The DSR users will only earn the Platinum Points Bonus for transmittals while they are assigned the Platinum status.</w:t>
      </w:r>
    </w:p>
    <w:p w14:paraId="37B1EA6D"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t>Gold Status:</w:t>
      </w:r>
    </w:p>
    <w:p w14:paraId="73808EBA" w14:textId="7480A67D" w:rsidR="00340F8E" w:rsidRPr="00340F8E" w:rsidRDefault="00340F8E" w:rsidP="00340F8E">
      <w:pPr>
        <w:numPr>
          <w:ilvl w:val="0"/>
          <w:numId w:val="2"/>
        </w:numPr>
        <w:spacing w:line="240" w:lineRule="auto"/>
        <w:rPr>
          <w:rFonts w:ascii="Arial" w:hAnsi="Arial" w:cs="Arial"/>
          <w:sz w:val="20"/>
          <w:szCs w:val="20"/>
        </w:rPr>
      </w:pPr>
      <w:r w:rsidRPr="00340F8E">
        <w:rPr>
          <w:rFonts w:ascii="Arial" w:hAnsi="Arial" w:cs="Arial"/>
          <w:sz w:val="20"/>
          <w:szCs w:val="20"/>
        </w:rPr>
        <w:t>Gold Status will be assigned to the DSR users that have approved claims for accounts with purchases in the preceding 12 months totaling:</w:t>
      </w:r>
    </w:p>
    <w:p w14:paraId="25F07A0C" w14:textId="77777777" w:rsidR="00340F8E" w:rsidRPr="00340F8E" w:rsidRDefault="00340F8E" w:rsidP="00340F8E">
      <w:pPr>
        <w:numPr>
          <w:ilvl w:val="1"/>
          <w:numId w:val="2"/>
        </w:numPr>
        <w:spacing w:line="240" w:lineRule="auto"/>
        <w:rPr>
          <w:rFonts w:ascii="Arial" w:hAnsi="Arial" w:cs="Arial"/>
          <w:sz w:val="20"/>
          <w:szCs w:val="20"/>
        </w:rPr>
      </w:pPr>
      <w:r w:rsidRPr="00340F8E">
        <w:rPr>
          <w:rFonts w:ascii="Arial" w:hAnsi="Arial" w:cs="Arial"/>
          <w:sz w:val="20"/>
          <w:szCs w:val="20"/>
        </w:rPr>
        <w:t>More than 5,000 Gallons of Total Volume </w:t>
      </w:r>
      <w:r w:rsidRPr="00340F8E">
        <w:rPr>
          <w:rFonts w:ascii="Arial" w:hAnsi="Arial" w:cs="Arial"/>
          <w:b/>
          <w:bCs/>
          <w:sz w:val="20"/>
          <w:szCs w:val="20"/>
          <w:u w:val="single"/>
        </w:rPr>
        <w:t>or</w:t>
      </w:r>
    </w:p>
    <w:p w14:paraId="1586D73C" w14:textId="77777777" w:rsidR="00340F8E" w:rsidRPr="00340F8E" w:rsidRDefault="00340F8E" w:rsidP="00340F8E">
      <w:pPr>
        <w:numPr>
          <w:ilvl w:val="1"/>
          <w:numId w:val="2"/>
        </w:numPr>
        <w:spacing w:line="240" w:lineRule="auto"/>
        <w:rPr>
          <w:rFonts w:ascii="Arial" w:hAnsi="Arial" w:cs="Arial"/>
          <w:sz w:val="20"/>
          <w:szCs w:val="20"/>
        </w:rPr>
      </w:pPr>
      <w:r w:rsidRPr="00340F8E">
        <w:rPr>
          <w:rFonts w:ascii="Arial" w:hAnsi="Arial" w:cs="Arial"/>
          <w:sz w:val="20"/>
          <w:szCs w:val="20"/>
        </w:rPr>
        <w:t>More than 1,000 Gallons of Volume from New Accounts (i.e., accounts that are within their 12-month monitoring period for the New Account Signing Bonus).</w:t>
      </w:r>
    </w:p>
    <w:p w14:paraId="06121407" w14:textId="4FD6D96D" w:rsidR="00340F8E" w:rsidRDefault="00340F8E" w:rsidP="00340F8E">
      <w:pPr>
        <w:numPr>
          <w:ilvl w:val="0"/>
          <w:numId w:val="2"/>
        </w:numPr>
        <w:spacing w:line="240" w:lineRule="auto"/>
        <w:rPr>
          <w:rFonts w:ascii="Arial" w:hAnsi="Arial" w:cs="Arial"/>
          <w:sz w:val="20"/>
          <w:szCs w:val="20"/>
        </w:rPr>
      </w:pPr>
      <w:r w:rsidRPr="00340F8E">
        <w:rPr>
          <w:rFonts w:ascii="Arial" w:hAnsi="Arial" w:cs="Arial"/>
          <w:sz w:val="20"/>
          <w:szCs w:val="20"/>
        </w:rPr>
        <w:t>While assigned the Gold Status, users will earn all points associated with volume-based promotions and New Account Bonuses without restrictions</w:t>
      </w:r>
    </w:p>
    <w:p w14:paraId="7D7A7B29" w14:textId="77777777" w:rsidR="00340F8E" w:rsidRPr="00340F8E" w:rsidRDefault="00340F8E" w:rsidP="00340F8E">
      <w:pPr>
        <w:spacing w:line="240" w:lineRule="auto"/>
        <w:ind w:left="720"/>
        <w:rPr>
          <w:rFonts w:ascii="Arial" w:hAnsi="Arial" w:cs="Arial"/>
          <w:sz w:val="20"/>
          <w:szCs w:val="20"/>
        </w:rPr>
      </w:pPr>
    </w:p>
    <w:p w14:paraId="7E971373"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lastRenderedPageBreak/>
        <w:t>Silver Status:</w:t>
      </w:r>
    </w:p>
    <w:p w14:paraId="0DC29B48" w14:textId="29C7D19B" w:rsidR="00340F8E" w:rsidRPr="00340F8E" w:rsidRDefault="00340F8E" w:rsidP="00340F8E">
      <w:pPr>
        <w:numPr>
          <w:ilvl w:val="0"/>
          <w:numId w:val="3"/>
        </w:numPr>
        <w:spacing w:line="240" w:lineRule="auto"/>
        <w:rPr>
          <w:rFonts w:ascii="Arial" w:hAnsi="Arial" w:cs="Arial"/>
          <w:sz w:val="20"/>
          <w:szCs w:val="20"/>
        </w:rPr>
      </w:pPr>
      <w:r w:rsidRPr="00340F8E">
        <w:rPr>
          <w:rFonts w:ascii="Arial" w:hAnsi="Arial" w:cs="Arial"/>
          <w:sz w:val="20"/>
          <w:szCs w:val="20"/>
        </w:rPr>
        <w:t>Silver Status will be assigned to the DSR users who:</w:t>
      </w:r>
    </w:p>
    <w:p w14:paraId="7DCBC177" w14:textId="77777777" w:rsidR="00340F8E" w:rsidRPr="00340F8E" w:rsidRDefault="00340F8E" w:rsidP="00340F8E">
      <w:pPr>
        <w:numPr>
          <w:ilvl w:val="1"/>
          <w:numId w:val="3"/>
        </w:numPr>
        <w:spacing w:line="240" w:lineRule="auto"/>
        <w:rPr>
          <w:rFonts w:ascii="Arial" w:hAnsi="Arial" w:cs="Arial"/>
          <w:sz w:val="20"/>
          <w:szCs w:val="20"/>
        </w:rPr>
      </w:pPr>
      <w:r w:rsidRPr="00340F8E">
        <w:rPr>
          <w:rFonts w:ascii="Arial" w:hAnsi="Arial" w:cs="Arial"/>
          <w:sz w:val="20"/>
          <w:szCs w:val="20"/>
        </w:rPr>
        <w:t>Have been enrolled in the Castrol SCORE Rewards Program (or equivalent) for 12-months or more.</w:t>
      </w:r>
    </w:p>
    <w:p w14:paraId="38CE3070" w14:textId="36D66DF4" w:rsidR="00340F8E" w:rsidRPr="00340F8E" w:rsidRDefault="00340F8E" w:rsidP="00340F8E">
      <w:pPr>
        <w:numPr>
          <w:ilvl w:val="1"/>
          <w:numId w:val="3"/>
        </w:numPr>
        <w:spacing w:line="240" w:lineRule="auto"/>
        <w:rPr>
          <w:rFonts w:ascii="Arial" w:hAnsi="Arial" w:cs="Arial"/>
          <w:sz w:val="20"/>
          <w:szCs w:val="20"/>
        </w:rPr>
      </w:pPr>
      <w:r w:rsidRPr="00340F8E">
        <w:rPr>
          <w:rFonts w:ascii="Arial" w:hAnsi="Arial" w:cs="Arial"/>
          <w:sz w:val="20"/>
          <w:szCs w:val="20"/>
        </w:rPr>
        <w:t>Have approved claims for accounts that have purchases in the preceding 12 months totaling:</w:t>
      </w:r>
    </w:p>
    <w:p w14:paraId="5924FC6C" w14:textId="77777777" w:rsidR="00340F8E" w:rsidRPr="00340F8E" w:rsidRDefault="00340F8E" w:rsidP="00340F8E">
      <w:pPr>
        <w:numPr>
          <w:ilvl w:val="2"/>
          <w:numId w:val="3"/>
        </w:numPr>
        <w:spacing w:line="240" w:lineRule="auto"/>
        <w:rPr>
          <w:rFonts w:ascii="Arial" w:hAnsi="Arial" w:cs="Arial"/>
          <w:sz w:val="20"/>
          <w:szCs w:val="20"/>
        </w:rPr>
      </w:pPr>
      <w:r w:rsidRPr="00340F8E">
        <w:rPr>
          <w:rFonts w:ascii="Arial" w:hAnsi="Arial" w:cs="Arial"/>
          <w:sz w:val="20"/>
          <w:szCs w:val="20"/>
        </w:rPr>
        <w:t>Less than 5,000 Gallons of Total Volume </w:t>
      </w:r>
      <w:r w:rsidRPr="00340F8E">
        <w:rPr>
          <w:rFonts w:ascii="Arial" w:hAnsi="Arial" w:cs="Arial"/>
          <w:b/>
          <w:bCs/>
          <w:sz w:val="20"/>
          <w:szCs w:val="20"/>
          <w:u w:val="single"/>
        </w:rPr>
        <w:t>and</w:t>
      </w:r>
    </w:p>
    <w:p w14:paraId="7AF49CDD" w14:textId="77777777" w:rsidR="00340F8E" w:rsidRPr="00340F8E" w:rsidRDefault="00340F8E" w:rsidP="00340F8E">
      <w:pPr>
        <w:numPr>
          <w:ilvl w:val="2"/>
          <w:numId w:val="3"/>
        </w:numPr>
        <w:spacing w:line="240" w:lineRule="auto"/>
        <w:rPr>
          <w:rFonts w:ascii="Arial" w:hAnsi="Arial" w:cs="Arial"/>
          <w:sz w:val="20"/>
          <w:szCs w:val="20"/>
        </w:rPr>
      </w:pPr>
      <w:r w:rsidRPr="00340F8E">
        <w:rPr>
          <w:rFonts w:ascii="Arial" w:hAnsi="Arial" w:cs="Arial"/>
          <w:sz w:val="20"/>
          <w:szCs w:val="20"/>
        </w:rPr>
        <w:t>Less than 1,000 Gallons from New Accounts (i.e., accounts that are within their 12-month monitoring period for the New Account Signing Bonus).</w:t>
      </w:r>
    </w:p>
    <w:p w14:paraId="1532BE21" w14:textId="77777777" w:rsidR="00340F8E" w:rsidRPr="00340F8E" w:rsidRDefault="00340F8E" w:rsidP="00340F8E">
      <w:pPr>
        <w:numPr>
          <w:ilvl w:val="0"/>
          <w:numId w:val="3"/>
        </w:numPr>
        <w:spacing w:line="240" w:lineRule="auto"/>
        <w:rPr>
          <w:rFonts w:ascii="Arial" w:hAnsi="Arial" w:cs="Arial"/>
          <w:sz w:val="20"/>
          <w:szCs w:val="20"/>
        </w:rPr>
      </w:pPr>
      <w:r w:rsidRPr="00340F8E">
        <w:rPr>
          <w:rFonts w:ascii="Arial" w:hAnsi="Arial" w:cs="Arial"/>
          <w:sz w:val="20"/>
          <w:szCs w:val="20"/>
        </w:rPr>
        <w:t>While assigned the Silver Status, users will continue to earn all volume-based promotions and New Account Bonuses for 90-days. If the user remains in a Silver Status after 90-days, their account will go into “Suspended Status”.</w:t>
      </w:r>
    </w:p>
    <w:p w14:paraId="56B4A492" w14:textId="5ED3C5A3" w:rsidR="00340F8E" w:rsidRPr="00340F8E" w:rsidRDefault="00340F8E" w:rsidP="00340F8E">
      <w:pPr>
        <w:spacing w:line="240" w:lineRule="auto"/>
        <w:rPr>
          <w:rFonts w:ascii="Arial" w:hAnsi="Arial" w:cs="Arial"/>
          <w:sz w:val="20"/>
          <w:szCs w:val="20"/>
        </w:rPr>
      </w:pPr>
    </w:p>
    <w:p w14:paraId="6B1A51CC"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t>Suspended Status:</w:t>
      </w:r>
    </w:p>
    <w:p w14:paraId="6BC0FA5D" w14:textId="77777777" w:rsidR="00340F8E" w:rsidRPr="00340F8E" w:rsidRDefault="00340F8E" w:rsidP="00340F8E">
      <w:pPr>
        <w:numPr>
          <w:ilvl w:val="0"/>
          <w:numId w:val="4"/>
        </w:numPr>
        <w:spacing w:line="240" w:lineRule="auto"/>
        <w:rPr>
          <w:rFonts w:ascii="Arial" w:hAnsi="Arial" w:cs="Arial"/>
          <w:sz w:val="20"/>
          <w:szCs w:val="20"/>
        </w:rPr>
      </w:pPr>
      <w:r w:rsidRPr="00340F8E">
        <w:rPr>
          <w:rFonts w:ascii="Arial" w:hAnsi="Arial" w:cs="Arial"/>
          <w:sz w:val="20"/>
          <w:szCs w:val="20"/>
        </w:rPr>
        <w:t>The DSR users that are assigned Suspended Status will not actively receive points deposits for Volume Based Promotions and New Account Bonuses while in Suspended Status.</w:t>
      </w:r>
    </w:p>
    <w:p w14:paraId="6551BA58" w14:textId="77777777" w:rsidR="00340F8E" w:rsidRPr="00340F8E" w:rsidRDefault="00340F8E" w:rsidP="00340F8E">
      <w:pPr>
        <w:numPr>
          <w:ilvl w:val="0"/>
          <w:numId w:val="4"/>
        </w:numPr>
        <w:spacing w:line="240" w:lineRule="auto"/>
        <w:rPr>
          <w:rFonts w:ascii="Arial" w:hAnsi="Arial" w:cs="Arial"/>
          <w:sz w:val="20"/>
          <w:szCs w:val="20"/>
        </w:rPr>
      </w:pPr>
      <w:r w:rsidRPr="00340F8E">
        <w:rPr>
          <w:rFonts w:ascii="Arial" w:hAnsi="Arial" w:cs="Arial"/>
          <w:sz w:val="20"/>
          <w:szCs w:val="20"/>
        </w:rPr>
        <w:t>If the DSR user meets the criteria for Gold Status at any point during the Suspended Status, the DSR user will be removed from the Suspended Status and all volume-based promotions and New Account Bonuses will be released to the DSR user in the next points transmittal.</w:t>
      </w:r>
    </w:p>
    <w:p w14:paraId="0B66A5DA" w14:textId="77777777" w:rsidR="00340F8E" w:rsidRPr="00340F8E" w:rsidRDefault="00340F8E" w:rsidP="00340F8E">
      <w:pPr>
        <w:numPr>
          <w:ilvl w:val="0"/>
          <w:numId w:val="4"/>
        </w:numPr>
        <w:spacing w:line="240" w:lineRule="auto"/>
        <w:rPr>
          <w:rFonts w:ascii="Arial" w:hAnsi="Arial" w:cs="Arial"/>
          <w:sz w:val="20"/>
          <w:szCs w:val="20"/>
        </w:rPr>
      </w:pPr>
      <w:r w:rsidRPr="00340F8E">
        <w:rPr>
          <w:rFonts w:ascii="Arial" w:hAnsi="Arial" w:cs="Arial"/>
          <w:sz w:val="20"/>
          <w:szCs w:val="20"/>
        </w:rPr>
        <w:t>If the DSR user remains in a Suspended Status after 90-days, their account will change to “Expired Status”.</w:t>
      </w:r>
    </w:p>
    <w:p w14:paraId="7BF5548A" w14:textId="7D51DC19" w:rsidR="00340F8E" w:rsidRPr="00340F8E" w:rsidRDefault="00340F8E" w:rsidP="00340F8E">
      <w:pPr>
        <w:spacing w:line="240" w:lineRule="auto"/>
        <w:rPr>
          <w:rFonts w:ascii="Arial" w:hAnsi="Arial" w:cs="Arial"/>
          <w:sz w:val="20"/>
          <w:szCs w:val="20"/>
        </w:rPr>
      </w:pPr>
    </w:p>
    <w:p w14:paraId="0DB922C1"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t>Expired Status:</w:t>
      </w:r>
    </w:p>
    <w:p w14:paraId="795D6702" w14:textId="3F45EE50" w:rsidR="00340F8E" w:rsidRPr="00340F8E" w:rsidRDefault="00340F8E" w:rsidP="00340F8E">
      <w:pPr>
        <w:numPr>
          <w:ilvl w:val="0"/>
          <w:numId w:val="5"/>
        </w:numPr>
        <w:spacing w:line="240" w:lineRule="auto"/>
        <w:rPr>
          <w:rFonts w:ascii="Arial" w:hAnsi="Arial" w:cs="Arial"/>
          <w:sz w:val="20"/>
          <w:szCs w:val="20"/>
        </w:rPr>
      </w:pPr>
      <w:r w:rsidRPr="00340F8E">
        <w:rPr>
          <w:rFonts w:ascii="Arial" w:hAnsi="Arial" w:cs="Arial"/>
          <w:sz w:val="20"/>
          <w:szCs w:val="20"/>
        </w:rPr>
        <w:t>Once the DSR user changes to Expired Status, all points in the DSR user’s points bank will be reclaimed, all account claims will be expired, and the DSR user will no longer be enrolled in the Castrol SCORE Rewards Program.</w:t>
      </w:r>
    </w:p>
    <w:p w14:paraId="0F45A700"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sz w:val="20"/>
          <w:szCs w:val="20"/>
          <w:u w:val="single"/>
        </w:rPr>
        <w:t>Important Notes:</w:t>
      </w:r>
    </w:p>
    <w:p w14:paraId="7E24546F" w14:textId="77777777" w:rsidR="00340F8E" w:rsidRPr="00340F8E" w:rsidRDefault="00340F8E" w:rsidP="00340F8E">
      <w:pPr>
        <w:numPr>
          <w:ilvl w:val="0"/>
          <w:numId w:val="6"/>
        </w:numPr>
        <w:spacing w:line="240" w:lineRule="auto"/>
        <w:rPr>
          <w:rFonts w:ascii="Arial" w:hAnsi="Arial" w:cs="Arial"/>
          <w:sz w:val="20"/>
          <w:szCs w:val="20"/>
        </w:rPr>
      </w:pPr>
      <w:r w:rsidRPr="00340F8E">
        <w:rPr>
          <w:rFonts w:ascii="Arial" w:hAnsi="Arial" w:cs="Arial"/>
          <w:sz w:val="20"/>
          <w:szCs w:val="20"/>
        </w:rPr>
        <w:t>The DSR user Account Status will be updated daily based upon most recent sell-out data available.</w:t>
      </w:r>
    </w:p>
    <w:p w14:paraId="52C81152" w14:textId="77777777" w:rsidR="00340F8E" w:rsidRPr="00340F8E" w:rsidRDefault="00340F8E" w:rsidP="00340F8E">
      <w:pPr>
        <w:numPr>
          <w:ilvl w:val="0"/>
          <w:numId w:val="6"/>
        </w:numPr>
        <w:spacing w:line="240" w:lineRule="auto"/>
        <w:rPr>
          <w:rFonts w:ascii="Arial" w:hAnsi="Arial" w:cs="Arial"/>
          <w:sz w:val="20"/>
          <w:szCs w:val="20"/>
        </w:rPr>
      </w:pPr>
      <w:r w:rsidRPr="00340F8E">
        <w:rPr>
          <w:rFonts w:ascii="Arial" w:hAnsi="Arial" w:cs="Arial"/>
          <w:sz w:val="20"/>
          <w:szCs w:val="20"/>
        </w:rPr>
        <w:t>Eligibility criteria and Bonus percentages are subject to change without notice.</w:t>
      </w:r>
    </w:p>
    <w:p w14:paraId="604D5F50" w14:textId="78D44541" w:rsidR="00340F8E" w:rsidRPr="00340F8E" w:rsidRDefault="00340F8E" w:rsidP="00340F8E">
      <w:pPr>
        <w:spacing w:line="240" w:lineRule="auto"/>
        <w:rPr>
          <w:rFonts w:ascii="Arial" w:hAnsi="Arial" w:cs="Arial"/>
          <w:sz w:val="20"/>
          <w:szCs w:val="20"/>
        </w:rPr>
      </w:pPr>
    </w:p>
    <w:p w14:paraId="134E68D1" w14:textId="77777777" w:rsidR="00340F8E" w:rsidRPr="00340F8E" w:rsidRDefault="00340F8E" w:rsidP="00340F8E">
      <w:pPr>
        <w:spacing w:line="240" w:lineRule="auto"/>
        <w:rPr>
          <w:rFonts w:ascii="Arial" w:hAnsi="Arial" w:cs="Arial"/>
          <w:sz w:val="20"/>
          <w:szCs w:val="20"/>
          <w:u w:val="single"/>
        </w:rPr>
      </w:pPr>
      <w:r w:rsidRPr="00340F8E">
        <w:rPr>
          <w:rFonts w:ascii="Arial" w:hAnsi="Arial" w:cs="Arial"/>
          <w:b/>
          <w:bCs/>
          <w:sz w:val="20"/>
          <w:szCs w:val="20"/>
          <w:u w:val="single"/>
        </w:rPr>
        <w:t>PROGRAM BONUS AND PRODUCT VALUES</w:t>
      </w:r>
    </w:p>
    <w:p w14:paraId="4217CADB" w14:textId="77777777" w:rsidR="00340F8E" w:rsidRPr="00340F8E" w:rsidRDefault="00340F8E" w:rsidP="00340F8E">
      <w:pPr>
        <w:spacing w:line="240" w:lineRule="auto"/>
        <w:rPr>
          <w:rFonts w:ascii="Arial" w:hAnsi="Arial" w:cs="Arial"/>
          <w:b/>
          <w:bCs/>
          <w:sz w:val="20"/>
          <w:szCs w:val="20"/>
          <w:u w:val="single"/>
        </w:rPr>
      </w:pPr>
      <w:r w:rsidRPr="00340F8E">
        <w:rPr>
          <w:rFonts w:ascii="Arial" w:hAnsi="Arial" w:cs="Arial"/>
          <w:b/>
          <w:bCs/>
          <w:sz w:val="20"/>
          <w:szCs w:val="20"/>
          <w:u w:val="single"/>
        </w:rPr>
        <w:t>PCO Tiered Signing Bonus</w:t>
      </w:r>
    </w:p>
    <w:p w14:paraId="25CDFE7D"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4 - 200,000 Points (10k+)</w:t>
      </w:r>
    </w:p>
    <w:p w14:paraId="6AA8CD76"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3 - 175,000 Points (5k-9,999k)</w:t>
      </w:r>
    </w:p>
    <w:p w14:paraId="68DF0FB7"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2 - 120,000 Points (3k-4,999k)</w:t>
      </w:r>
    </w:p>
    <w:p w14:paraId="506AD63E"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1 - 100,000 Points (1k-2,999k)</w:t>
      </w:r>
    </w:p>
    <w:p w14:paraId="2DA9DE8B" w14:textId="0271D8C9" w:rsidR="00340F8E" w:rsidRPr="00340F8E" w:rsidRDefault="00340F8E" w:rsidP="00340F8E">
      <w:pPr>
        <w:spacing w:line="240" w:lineRule="auto"/>
        <w:rPr>
          <w:rFonts w:ascii="Arial" w:hAnsi="Arial" w:cs="Arial"/>
          <w:sz w:val="20"/>
          <w:szCs w:val="20"/>
        </w:rPr>
      </w:pPr>
    </w:p>
    <w:p w14:paraId="68CB420D"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lastRenderedPageBreak/>
        <w:t>Castrol Partner Program Platinum Tier – signing bonus for 40,000 points</w:t>
      </w:r>
    </w:p>
    <w:p w14:paraId="58B1D878"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Partner Program Gold Tier – signing bonus for 20,000 points</w:t>
      </w:r>
    </w:p>
    <w:p w14:paraId="39CA5513"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Partner Program Silver Tier – signing bonus for 10,000 points</w:t>
      </w:r>
    </w:p>
    <w:p w14:paraId="74643F6E" w14:textId="77777777" w:rsidR="00340F8E" w:rsidRDefault="00340F8E" w:rsidP="00340F8E">
      <w:pPr>
        <w:spacing w:line="240" w:lineRule="auto"/>
        <w:rPr>
          <w:rFonts w:ascii="Arial" w:hAnsi="Arial" w:cs="Arial"/>
          <w:b/>
          <w:bCs/>
          <w:sz w:val="20"/>
          <w:szCs w:val="20"/>
        </w:rPr>
      </w:pPr>
    </w:p>
    <w:p w14:paraId="222E9FCF" w14:textId="39B79D8C" w:rsidR="00340F8E" w:rsidRPr="00340F8E" w:rsidRDefault="00340F8E" w:rsidP="00340F8E">
      <w:pPr>
        <w:spacing w:line="240" w:lineRule="auto"/>
        <w:rPr>
          <w:rFonts w:ascii="Arial" w:hAnsi="Arial" w:cs="Arial"/>
          <w:b/>
          <w:bCs/>
          <w:sz w:val="20"/>
          <w:szCs w:val="20"/>
          <w:u w:val="single"/>
        </w:rPr>
      </w:pPr>
      <w:r w:rsidRPr="00340F8E">
        <w:rPr>
          <w:rFonts w:ascii="Arial" w:hAnsi="Arial" w:cs="Arial"/>
          <w:b/>
          <w:bCs/>
          <w:sz w:val="20"/>
          <w:szCs w:val="20"/>
          <w:u w:val="single"/>
        </w:rPr>
        <w:t xml:space="preserve">PCO </w:t>
      </w:r>
      <w:r>
        <w:rPr>
          <w:rFonts w:ascii="Arial" w:hAnsi="Arial" w:cs="Arial"/>
          <w:b/>
          <w:bCs/>
          <w:sz w:val="20"/>
          <w:szCs w:val="20"/>
          <w:u w:val="single"/>
        </w:rPr>
        <w:t>Value</w:t>
      </w:r>
      <w:r w:rsidRPr="00340F8E">
        <w:rPr>
          <w:rFonts w:ascii="Arial" w:hAnsi="Arial" w:cs="Arial"/>
          <w:b/>
          <w:bCs/>
          <w:sz w:val="20"/>
          <w:szCs w:val="20"/>
          <w:u w:val="single"/>
        </w:rPr>
        <w:t xml:space="preserve"> (CASTROL SCORE REWARDS)</w:t>
      </w:r>
    </w:p>
    <w:p w14:paraId="71B57CDF"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Product Reward Points</w:t>
      </w:r>
    </w:p>
    <w:tbl>
      <w:tblPr>
        <w:tblW w:w="6878" w:type="dxa"/>
        <w:tblCellMar>
          <w:top w:w="15" w:type="dxa"/>
          <w:left w:w="15" w:type="dxa"/>
          <w:bottom w:w="15" w:type="dxa"/>
          <w:right w:w="15" w:type="dxa"/>
        </w:tblCellMar>
        <w:tblLook w:val="04A0" w:firstRow="1" w:lastRow="0" w:firstColumn="1" w:lastColumn="0" w:noHBand="0" w:noVBand="1"/>
      </w:tblPr>
      <w:tblGrid>
        <w:gridCol w:w="4197"/>
        <w:gridCol w:w="2681"/>
      </w:tblGrid>
      <w:tr w:rsidR="00340F8E" w:rsidRPr="00340F8E" w14:paraId="17B990F8" w14:textId="77777777" w:rsidTr="00340F8E">
        <w:trPr>
          <w:trHeight w:val="401"/>
          <w:tblHeader/>
        </w:trPr>
        <w:tc>
          <w:tcPr>
            <w:tcW w:w="4197" w:type="dxa"/>
            <w:shd w:val="clear" w:color="auto" w:fill="auto"/>
            <w:tcMar>
              <w:top w:w="0" w:type="dxa"/>
              <w:left w:w="0" w:type="dxa"/>
              <w:bottom w:w="0" w:type="dxa"/>
              <w:right w:w="0" w:type="dxa"/>
            </w:tcMar>
            <w:vAlign w:val="center"/>
            <w:hideMark/>
          </w:tcPr>
          <w:p w14:paraId="5A846B73"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Product</w:t>
            </w:r>
          </w:p>
        </w:tc>
        <w:tc>
          <w:tcPr>
            <w:tcW w:w="2681" w:type="dxa"/>
            <w:shd w:val="clear" w:color="auto" w:fill="auto"/>
            <w:tcMar>
              <w:top w:w="0" w:type="dxa"/>
              <w:left w:w="0" w:type="dxa"/>
              <w:bottom w:w="0" w:type="dxa"/>
              <w:right w:w="0" w:type="dxa"/>
            </w:tcMar>
            <w:vAlign w:val="center"/>
            <w:hideMark/>
          </w:tcPr>
          <w:p w14:paraId="251AFF1C"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Reward Points</w:t>
            </w:r>
          </w:p>
        </w:tc>
      </w:tr>
      <w:tr w:rsidR="00340F8E" w:rsidRPr="00340F8E" w14:paraId="16775D5A" w14:textId="77777777" w:rsidTr="00340F8E">
        <w:trPr>
          <w:trHeight w:val="401"/>
        </w:trPr>
        <w:tc>
          <w:tcPr>
            <w:tcW w:w="4197" w:type="dxa"/>
            <w:shd w:val="clear" w:color="auto" w:fill="auto"/>
            <w:tcMar>
              <w:top w:w="0" w:type="dxa"/>
              <w:left w:w="0" w:type="dxa"/>
              <w:bottom w:w="0" w:type="dxa"/>
              <w:right w:w="0" w:type="dxa"/>
            </w:tcMar>
            <w:vAlign w:val="center"/>
            <w:hideMark/>
          </w:tcPr>
          <w:p w14:paraId="44FB2B9F"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w:t>
            </w:r>
            <w:hyperlink r:id="rId7" w:anchor="edge-definition-overview" w:history="1">
              <w:r w:rsidRPr="00340F8E">
                <w:rPr>
                  <w:rStyle w:val="Hyperlink"/>
                  <w:rFonts w:ascii="Arial" w:hAnsi="Arial" w:cs="Arial"/>
                  <w:b/>
                  <w:bCs/>
                  <w:sz w:val="20"/>
                  <w:szCs w:val="20"/>
                </w:rPr>
                <w:t>EDGE®*</w:t>
              </w:r>
            </w:hyperlink>
          </w:p>
        </w:tc>
        <w:tc>
          <w:tcPr>
            <w:tcW w:w="2681" w:type="dxa"/>
            <w:shd w:val="clear" w:color="auto" w:fill="auto"/>
            <w:tcMar>
              <w:top w:w="0" w:type="dxa"/>
              <w:left w:w="0" w:type="dxa"/>
              <w:bottom w:w="0" w:type="dxa"/>
              <w:right w:w="0" w:type="dxa"/>
            </w:tcMar>
            <w:vAlign w:val="center"/>
            <w:hideMark/>
          </w:tcPr>
          <w:p w14:paraId="72C54F12"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10 points per gallon</w:t>
            </w:r>
          </w:p>
        </w:tc>
      </w:tr>
      <w:tr w:rsidR="00340F8E" w:rsidRPr="00340F8E" w14:paraId="4E7BFBA4" w14:textId="77777777" w:rsidTr="00340F8E">
        <w:trPr>
          <w:trHeight w:val="401"/>
        </w:trPr>
        <w:tc>
          <w:tcPr>
            <w:tcW w:w="4197" w:type="dxa"/>
            <w:shd w:val="clear" w:color="auto" w:fill="auto"/>
            <w:tcMar>
              <w:top w:w="0" w:type="dxa"/>
              <w:left w:w="0" w:type="dxa"/>
              <w:bottom w:w="0" w:type="dxa"/>
              <w:right w:w="0" w:type="dxa"/>
            </w:tcMar>
            <w:vAlign w:val="center"/>
            <w:hideMark/>
          </w:tcPr>
          <w:p w14:paraId="7C450A4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GTX® Full Synthetic</w:t>
            </w:r>
          </w:p>
        </w:tc>
        <w:tc>
          <w:tcPr>
            <w:tcW w:w="2681" w:type="dxa"/>
            <w:shd w:val="clear" w:color="auto" w:fill="auto"/>
            <w:tcMar>
              <w:top w:w="0" w:type="dxa"/>
              <w:left w:w="0" w:type="dxa"/>
              <w:bottom w:w="0" w:type="dxa"/>
              <w:right w:w="0" w:type="dxa"/>
            </w:tcMar>
            <w:vAlign w:val="center"/>
            <w:hideMark/>
          </w:tcPr>
          <w:p w14:paraId="7FA7412B"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6 points per gallon</w:t>
            </w:r>
          </w:p>
        </w:tc>
      </w:tr>
      <w:tr w:rsidR="00340F8E" w:rsidRPr="00340F8E" w14:paraId="080D93B5" w14:textId="77777777" w:rsidTr="00340F8E">
        <w:trPr>
          <w:trHeight w:val="392"/>
        </w:trPr>
        <w:tc>
          <w:tcPr>
            <w:tcW w:w="4197" w:type="dxa"/>
            <w:shd w:val="clear" w:color="auto" w:fill="auto"/>
            <w:tcMar>
              <w:top w:w="0" w:type="dxa"/>
              <w:left w:w="0" w:type="dxa"/>
              <w:bottom w:w="0" w:type="dxa"/>
              <w:right w:w="0" w:type="dxa"/>
            </w:tcMar>
            <w:vAlign w:val="center"/>
            <w:hideMark/>
          </w:tcPr>
          <w:p w14:paraId="0571A783"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GTX® High Mileage</w:t>
            </w:r>
          </w:p>
        </w:tc>
        <w:tc>
          <w:tcPr>
            <w:tcW w:w="2681" w:type="dxa"/>
            <w:shd w:val="clear" w:color="auto" w:fill="auto"/>
            <w:tcMar>
              <w:top w:w="0" w:type="dxa"/>
              <w:left w:w="0" w:type="dxa"/>
              <w:bottom w:w="0" w:type="dxa"/>
              <w:right w:w="0" w:type="dxa"/>
            </w:tcMar>
            <w:vAlign w:val="center"/>
            <w:hideMark/>
          </w:tcPr>
          <w:p w14:paraId="7433F366"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4 points per gallon</w:t>
            </w:r>
          </w:p>
        </w:tc>
      </w:tr>
      <w:tr w:rsidR="00340F8E" w:rsidRPr="00340F8E" w14:paraId="1B87701C" w14:textId="77777777" w:rsidTr="00340F8E">
        <w:trPr>
          <w:trHeight w:val="401"/>
        </w:trPr>
        <w:tc>
          <w:tcPr>
            <w:tcW w:w="4197" w:type="dxa"/>
            <w:shd w:val="clear" w:color="auto" w:fill="auto"/>
            <w:tcMar>
              <w:top w:w="0" w:type="dxa"/>
              <w:left w:w="0" w:type="dxa"/>
              <w:bottom w:w="0" w:type="dxa"/>
              <w:right w:w="0" w:type="dxa"/>
            </w:tcMar>
            <w:vAlign w:val="center"/>
            <w:hideMark/>
          </w:tcPr>
          <w:p w14:paraId="0BE83FC7"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Transmax® ATF/CVT Universal</w:t>
            </w:r>
          </w:p>
        </w:tc>
        <w:tc>
          <w:tcPr>
            <w:tcW w:w="2681" w:type="dxa"/>
            <w:shd w:val="clear" w:color="auto" w:fill="auto"/>
            <w:tcMar>
              <w:top w:w="0" w:type="dxa"/>
              <w:left w:w="0" w:type="dxa"/>
              <w:bottom w:w="0" w:type="dxa"/>
              <w:right w:w="0" w:type="dxa"/>
            </w:tcMar>
            <w:vAlign w:val="center"/>
            <w:hideMark/>
          </w:tcPr>
          <w:p w14:paraId="67E3718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4 points per gallon</w:t>
            </w:r>
          </w:p>
        </w:tc>
      </w:tr>
      <w:tr w:rsidR="00340F8E" w:rsidRPr="00340F8E" w14:paraId="6AC688B3" w14:textId="77777777" w:rsidTr="00340F8E">
        <w:trPr>
          <w:trHeight w:val="401"/>
        </w:trPr>
        <w:tc>
          <w:tcPr>
            <w:tcW w:w="4197" w:type="dxa"/>
            <w:shd w:val="clear" w:color="auto" w:fill="auto"/>
            <w:tcMar>
              <w:top w:w="0" w:type="dxa"/>
              <w:left w:w="0" w:type="dxa"/>
              <w:bottom w:w="0" w:type="dxa"/>
              <w:right w:w="0" w:type="dxa"/>
            </w:tcMar>
            <w:vAlign w:val="center"/>
            <w:hideMark/>
          </w:tcPr>
          <w:p w14:paraId="35E4A5C2"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Castrol® GTX®</w:t>
            </w:r>
          </w:p>
        </w:tc>
        <w:tc>
          <w:tcPr>
            <w:tcW w:w="2681" w:type="dxa"/>
            <w:shd w:val="clear" w:color="auto" w:fill="auto"/>
            <w:tcMar>
              <w:top w:w="0" w:type="dxa"/>
              <w:left w:w="0" w:type="dxa"/>
              <w:bottom w:w="0" w:type="dxa"/>
              <w:right w:w="0" w:type="dxa"/>
            </w:tcMar>
            <w:vAlign w:val="center"/>
            <w:hideMark/>
          </w:tcPr>
          <w:p w14:paraId="1FB7D72C"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2 points per gallon</w:t>
            </w:r>
          </w:p>
        </w:tc>
      </w:tr>
    </w:tbl>
    <w:p w14:paraId="5D77337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*Includes Castrol® EDGE®, Castrol® EDGE® Professional, Castrol® EDGE® High Mileage, Castrol® EDGE® Bio-Synthetic and Castrol® EDGE® Extended Performance</w:t>
      </w:r>
    </w:p>
    <w:p w14:paraId="40FD25A1" w14:textId="77777777" w:rsidR="00340F8E" w:rsidRPr="00340F8E" w:rsidRDefault="00340F8E" w:rsidP="00340F8E">
      <w:pPr>
        <w:spacing w:line="240" w:lineRule="auto"/>
        <w:rPr>
          <w:rFonts w:ascii="Arial" w:hAnsi="Arial" w:cs="Arial"/>
          <w:b/>
          <w:bCs/>
          <w:sz w:val="20"/>
          <w:szCs w:val="20"/>
          <w:u w:val="single"/>
        </w:rPr>
      </w:pPr>
      <w:r w:rsidRPr="00340F8E">
        <w:rPr>
          <w:rFonts w:ascii="Arial" w:hAnsi="Arial" w:cs="Arial"/>
          <w:b/>
          <w:bCs/>
          <w:sz w:val="20"/>
          <w:szCs w:val="20"/>
          <w:u w:val="single"/>
        </w:rPr>
        <w:t>HD Tiered Signing Bonus</w:t>
      </w:r>
    </w:p>
    <w:p w14:paraId="4A99787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4 - 200,000 Points (10k+)</w:t>
      </w:r>
    </w:p>
    <w:p w14:paraId="7CAE508D"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3 - 175,000 Points (5k-9,999k)</w:t>
      </w:r>
    </w:p>
    <w:p w14:paraId="465538B1"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2 - 120,000 Points (3k-4,999k)</w:t>
      </w:r>
    </w:p>
    <w:p w14:paraId="4E6CC7B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Tier 1 - 100,000 Points (1k-2,999k)</w:t>
      </w:r>
    </w:p>
    <w:p w14:paraId="3E36F3DA" w14:textId="21F6FEC0" w:rsidR="00340F8E" w:rsidRPr="00340F8E" w:rsidRDefault="00340F8E" w:rsidP="00340F8E">
      <w:pPr>
        <w:spacing w:line="240" w:lineRule="auto"/>
        <w:rPr>
          <w:rFonts w:ascii="Arial" w:hAnsi="Arial" w:cs="Arial"/>
          <w:b/>
          <w:bCs/>
          <w:sz w:val="20"/>
          <w:szCs w:val="20"/>
          <w:u w:val="single"/>
        </w:rPr>
      </w:pPr>
      <w:r w:rsidRPr="00340F8E">
        <w:rPr>
          <w:rFonts w:ascii="Arial" w:hAnsi="Arial" w:cs="Arial"/>
          <w:b/>
          <w:bCs/>
          <w:sz w:val="20"/>
          <w:szCs w:val="20"/>
          <w:u w:val="single"/>
        </w:rPr>
        <w:t xml:space="preserve">HD </w:t>
      </w:r>
      <w:r>
        <w:rPr>
          <w:rFonts w:ascii="Arial" w:hAnsi="Arial" w:cs="Arial"/>
          <w:b/>
          <w:bCs/>
          <w:sz w:val="20"/>
          <w:szCs w:val="20"/>
          <w:u w:val="single"/>
        </w:rPr>
        <w:t>Value</w:t>
      </w:r>
      <w:r w:rsidRPr="00340F8E">
        <w:rPr>
          <w:rFonts w:ascii="Arial" w:hAnsi="Arial" w:cs="Arial"/>
          <w:b/>
          <w:bCs/>
          <w:sz w:val="20"/>
          <w:szCs w:val="20"/>
          <w:u w:val="single"/>
        </w:rPr>
        <w:t xml:space="preserve"> (CASTROL SCORE REWARDS)</w:t>
      </w:r>
    </w:p>
    <w:p w14:paraId="5D35BE65"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Product Rewards Points</w:t>
      </w:r>
    </w:p>
    <w:tbl>
      <w:tblPr>
        <w:tblW w:w="5669" w:type="dxa"/>
        <w:tblCellMar>
          <w:top w:w="15" w:type="dxa"/>
          <w:left w:w="15" w:type="dxa"/>
          <w:bottom w:w="15" w:type="dxa"/>
          <w:right w:w="15" w:type="dxa"/>
        </w:tblCellMar>
        <w:tblLook w:val="04A0" w:firstRow="1" w:lastRow="0" w:firstColumn="1" w:lastColumn="0" w:noHBand="0" w:noVBand="1"/>
      </w:tblPr>
      <w:tblGrid>
        <w:gridCol w:w="2881"/>
        <w:gridCol w:w="2788"/>
      </w:tblGrid>
      <w:tr w:rsidR="00340F8E" w:rsidRPr="00340F8E" w14:paraId="6ECB3AF2" w14:textId="77777777" w:rsidTr="00F6133D">
        <w:trPr>
          <w:trHeight w:val="418"/>
          <w:tblHeader/>
        </w:trPr>
        <w:tc>
          <w:tcPr>
            <w:tcW w:w="2881" w:type="dxa"/>
            <w:shd w:val="clear" w:color="auto" w:fill="auto"/>
            <w:tcMar>
              <w:top w:w="0" w:type="dxa"/>
              <w:left w:w="0" w:type="dxa"/>
              <w:bottom w:w="0" w:type="dxa"/>
              <w:right w:w="0" w:type="dxa"/>
            </w:tcMar>
            <w:vAlign w:val="center"/>
            <w:hideMark/>
          </w:tcPr>
          <w:p w14:paraId="71D61E7A"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Best 10 Points per gallon</w:t>
            </w:r>
          </w:p>
        </w:tc>
        <w:tc>
          <w:tcPr>
            <w:tcW w:w="2788" w:type="dxa"/>
            <w:shd w:val="clear" w:color="auto" w:fill="auto"/>
            <w:tcMar>
              <w:top w:w="0" w:type="dxa"/>
              <w:left w:w="0" w:type="dxa"/>
              <w:bottom w:w="0" w:type="dxa"/>
              <w:right w:w="0" w:type="dxa"/>
            </w:tcMar>
            <w:vAlign w:val="center"/>
            <w:hideMark/>
          </w:tcPr>
          <w:p w14:paraId="3E5C1CD7"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Better 2 Point Per Gallon</w:t>
            </w:r>
          </w:p>
        </w:tc>
      </w:tr>
      <w:tr w:rsidR="00340F8E" w:rsidRPr="00340F8E" w14:paraId="2B19B8F6" w14:textId="77777777" w:rsidTr="00F6133D">
        <w:trPr>
          <w:trHeight w:val="418"/>
          <w:tblHeader/>
        </w:trPr>
        <w:tc>
          <w:tcPr>
            <w:tcW w:w="2881" w:type="dxa"/>
            <w:shd w:val="clear" w:color="auto" w:fill="auto"/>
            <w:tcMar>
              <w:top w:w="0" w:type="dxa"/>
              <w:left w:w="0" w:type="dxa"/>
              <w:bottom w:w="0" w:type="dxa"/>
              <w:right w:w="0" w:type="dxa"/>
            </w:tcMar>
            <w:vAlign w:val="center"/>
            <w:hideMark/>
          </w:tcPr>
          <w:p w14:paraId="05A143C3"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Best Product</w:t>
            </w:r>
          </w:p>
        </w:tc>
        <w:tc>
          <w:tcPr>
            <w:tcW w:w="2788" w:type="dxa"/>
            <w:shd w:val="clear" w:color="auto" w:fill="auto"/>
            <w:tcMar>
              <w:top w:w="0" w:type="dxa"/>
              <w:left w:w="0" w:type="dxa"/>
              <w:bottom w:w="0" w:type="dxa"/>
              <w:right w:w="0" w:type="dxa"/>
            </w:tcMar>
            <w:vAlign w:val="center"/>
            <w:hideMark/>
          </w:tcPr>
          <w:p w14:paraId="16B14E68" w14:textId="77777777" w:rsidR="00340F8E" w:rsidRPr="00340F8E" w:rsidRDefault="00340F8E" w:rsidP="00340F8E">
            <w:pPr>
              <w:spacing w:line="240" w:lineRule="auto"/>
              <w:rPr>
                <w:rFonts w:ascii="Arial" w:hAnsi="Arial" w:cs="Arial"/>
                <w:b/>
                <w:bCs/>
                <w:sz w:val="20"/>
                <w:szCs w:val="20"/>
              </w:rPr>
            </w:pPr>
            <w:r w:rsidRPr="00340F8E">
              <w:rPr>
                <w:rFonts w:ascii="Arial" w:hAnsi="Arial" w:cs="Arial"/>
                <w:b/>
                <w:bCs/>
                <w:sz w:val="20"/>
                <w:szCs w:val="20"/>
              </w:rPr>
              <w:t>Better Product</w:t>
            </w:r>
          </w:p>
        </w:tc>
      </w:tr>
      <w:tr w:rsidR="00340F8E" w:rsidRPr="00340F8E" w14:paraId="78BE5D6F" w14:textId="77777777" w:rsidTr="00F6133D">
        <w:trPr>
          <w:trHeight w:val="418"/>
        </w:trPr>
        <w:tc>
          <w:tcPr>
            <w:tcW w:w="2881" w:type="dxa"/>
            <w:shd w:val="clear" w:color="auto" w:fill="auto"/>
            <w:tcMar>
              <w:top w:w="0" w:type="dxa"/>
              <w:left w:w="0" w:type="dxa"/>
              <w:bottom w:w="0" w:type="dxa"/>
              <w:right w:w="0" w:type="dxa"/>
            </w:tcMar>
            <w:vAlign w:val="center"/>
            <w:hideMark/>
          </w:tcPr>
          <w:p w14:paraId="14D96C4B"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Alpha HC</w:t>
            </w:r>
          </w:p>
        </w:tc>
        <w:tc>
          <w:tcPr>
            <w:tcW w:w="2788" w:type="dxa"/>
            <w:shd w:val="clear" w:color="auto" w:fill="auto"/>
            <w:tcMar>
              <w:top w:w="0" w:type="dxa"/>
              <w:left w:w="0" w:type="dxa"/>
              <w:bottom w:w="0" w:type="dxa"/>
              <w:right w:w="0" w:type="dxa"/>
            </w:tcMar>
            <w:vAlign w:val="center"/>
            <w:hideMark/>
          </w:tcPr>
          <w:p w14:paraId="741C323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Aerial Lift Fluid</w:t>
            </w:r>
          </w:p>
        </w:tc>
      </w:tr>
      <w:tr w:rsidR="00340F8E" w:rsidRPr="00340F8E" w14:paraId="5F19F46E" w14:textId="77777777" w:rsidTr="00F6133D">
        <w:trPr>
          <w:trHeight w:val="410"/>
        </w:trPr>
        <w:tc>
          <w:tcPr>
            <w:tcW w:w="2881" w:type="dxa"/>
            <w:shd w:val="clear" w:color="auto" w:fill="auto"/>
            <w:tcMar>
              <w:top w:w="0" w:type="dxa"/>
              <w:left w:w="0" w:type="dxa"/>
              <w:bottom w:w="0" w:type="dxa"/>
              <w:right w:w="0" w:type="dxa"/>
            </w:tcMar>
            <w:vAlign w:val="center"/>
            <w:hideMark/>
          </w:tcPr>
          <w:p w14:paraId="3A13713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Anvol SWX</w:t>
            </w:r>
          </w:p>
        </w:tc>
        <w:tc>
          <w:tcPr>
            <w:tcW w:w="2788" w:type="dxa"/>
            <w:shd w:val="clear" w:color="auto" w:fill="auto"/>
            <w:tcMar>
              <w:top w:w="0" w:type="dxa"/>
              <w:left w:w="0" w:type="dxa"/>
              <w:bottom w:w="0" w:type="dxa"/>
              <w:right w:w="0" w:type="dxa"/>
            </w:tcMar>
            <w:vAlign w:val="center"/>
            <w:hideMark/>
          </w:tcPr>
          <w:p w14:paraId="16EB61F7"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Alpha CLP</w:t>
            </w:r>
          </w:p>
        </w:tc>
      </w:tr>
      <w:tr w:rsidR="00340F8E" w:rsidRPr="00340F8E" w14:paraId="460C593F" w14:textId="77777777" w:rsidTr="00F6133D">
        <w:trPr>
          <w:trHeight w:val="418"/>
        </w:trPr>
        <w:tc>
          <w:tcPr>
            <w:tcW w:w="2881" w:type="dxa"/>
            <w:shd w:val="clear" w:color="auto" w:fill="auto"/>
            <w:tcMar>
              <w:top w:w="0" w:type="dxa"/>
              <w:left w:w="0" w:type="dxa"/>
              <w:bottom w:w="0" w:type="dxa"/>
              <w:right w:w="0" w:type="dxa"/>
            </w:tcMar>
            <w:vAlign w:val="center"/>
            <w:hideMark/>
          </w:tcPr>
          <w:p w14:paraId="01C3068B"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Axle FD</w:t>
            </w:r>
          </w:p>
        </w:tc>
        <w:tc>
          <w:tcPr>
            <w:tcW w:w="2788" w:type="dxa"/>
            <w:shd w:val="clear" w:color="auto" w:fill="auto"/>
            <w:tcMar>
              <w:top w:w="0" w:type="dxa"/>
              <w:left w:w="0" w:type="dxa"/>
              <w:bottom w:w="0" w:type="dxa"/>
              <w:right w:w="0" w:type="dxa"/>
            </w:tcMar>
            <w:vAlign w:val="center"/>
            <w:hideMark/>
          </w:tcPr>
          <w:p w14:paraId="31DEA92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AP Gear Lube</w:t>
            </w:r>
          </w:p>
        </w:tc>
      </w:tr>
      <w:tr w:rsidR="00340F8E" w:rsidRPr="00340F8E" w14:paraId="56FF2E51" w14:textId="77777777" w:rsidTr="00F6133D">
        <w:trPr>
          <w:trHeight w:val="418"/>
        </w:trPr>
        <w:tc>
          <w:tcPr>
            <w:tcW w:w="2881" w:type="dxa"/>
            <w:shd w:val="clear" w:color="auto" w:fill="auto"/>
            <w:tcMar>
              <w:top w:w="0" w:type="dxa"/>
              <w:left w:w="0" w:type="dxa"/>
              <w:bottom w:w="0" w:type="dxa"/>
              <w:right w:w="0" w:type="dxa"/>
            </w:tcMar>
            <w:vAlign w:val="center"/>
            <w:hideMark/>
          </w:tcPr>
          <w:p w14:paraId="62C89E13"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Blue Hydraulic</w:t>
            </w:r>
          </w:p>
        </w:tc>
        <w:tc>
          <w:tcPr>
            <w:tcW w:w="2788" w:type="dxa"/>
            <w:shd w:val="clear" w:color="auto" w:fill="auto"/>
            <w:tcMar>
              <w:top w:w="0" w:type="dxa"/>
              <w:left w:w="0" w:type="dxa"/>
              <w:bottom w:w="0" w:type="dxa"/>
              <w:right w:w="0" w:type="dxa"/>
            </w:tcMar>
            <w:vAlign w:val="center"/>
            <w:hideMark/>
          </w:tcPr>
          <w:p w14:paraId="45653716"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Contractor Special</w:t>
            </w:r>
          </w:p>
        </w:tc>
      </w:tr>
      <w:tr w:rsidR="00340F8E" w:rsidRPr="00340F8E" w14:paraId="3806AC42" w14:textId="77777777" w:rsidTr="00F6133D">
        <w:trPr>
          <w:trHeight w:val="418"/>
        </w:trPr>
        <w:tc>
          <w:tcPr>
            <w:tcW w:w="2881" w:type="dxa"/>
            <w:shd w:val="clear" w:color="auto" w:fill="auto"/>
            <w:tcMar>
              <w:top w:w="0" w:type="dxa"/>
              <w:left w:w="0" w:type="dxa"/>
              <w:bottom w:w="0" w:type="dxa"/>
              <w:right w:w="0" w:type="dxa"/>
            </w:tcMar>
            <w:vAlign w:val="center"/>
            <w:hideMark/>
          </w:tcPr>
          <w:p w14:paraId="16A0C5C6"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Dual Range HV</w:t>
            </w:r>
          </w:p>
        </w:tc>
        <w:tc>
          <w:tcPr>
            <w:tcW w:w="2788" w:type="dxa"/>
            <w:shd w:val="clear" w:color="auto" w:fill="auto"/>
            <w:tcMar>
              <w:top w:w="0" w:type="dxa"/>
              <w:left w:w="0" w:type="dxa"/>
              <w:bottom w:w="0" w:type="dxa"/>
              <w:right w:w="0" w:type="dxa"/>
            </w:tcMar>
            <w:vAlign w:val="center"/>
            <w:hideMark/>
          </w:tcPr>
          <w:p w14:paraId="30D0096F"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CRB Monograde</w:t>
            </w:r>
          </w:p>
        </w:tc>
      </w:tr>
      <w:tr w:rsidR="00340F8E" w:rsidRPr="00340F8E" w14:paraId="4AAA6900" w14:textId="77777777" w:rsidTr="00F6133D">
        <w:trPr>
          <w:trHeight w:val="418"/>
        </w:trPr>
        <w:tc>
          <w:tcPr>
            <w:tcW w:w="2881" w:type="dxa"/>
            <w:shd w:val="clear" w:color="auto" w:fill="auto"/>
            <w:tcMar>
              <w:top w:w="0" w:type="dxa"/>
              <w:left w:w="0" w:type="dxa"/>
              <w:bottom w:w="0" w:type="dxa"/>
              <w:right w:w="0" w:type="dxa"/>
            </w:tcMar>
            <w:vAlign w:val="center"/>
            <w:hideMark/>
          </w:tcPr>
          <w:p w14:paraId="730B3E02"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Duratec ES</w:t>
            </w:r>
          </w:p>
        </w:tc>
        <w:tc>
          <w:tcPr>
            <w:tcW w:w="2788" w:type="dxa"/>
            <w:shd w:val="clear" w:color="auto" w:fill="auto"/>
            <w:tcMar>
              <w:top w:w="0" w:type="dxa"/>
              <w:left w:w="0" w:type="dxa"/>
              <w:bottom w:w="0" w:type="dxa"/>
              <w:right w:w="0" w:type="dxa"/>
            </w:tcMar>
            <w:vAlign w:val="center"/>
            <w:hideMark/>
          </w:tcPr>
          <w:p w14:paraId="1156D15C"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CRB Multi</w:t>
            </w:r>
          </w:p>
        </w:tc>
      </w:tr>
      <w:tr w:rsidR="00340F8E" w:rsidRPr="00340F8E" w14:paraId="573B3AA8" w14:textId="77777777" w:rsidTr="00F6133D">
        <w:trPr>
          <w:trHeight w:val="418"/>
        </w:trPr>
        <w:tc>
          <w:tcPr>
            <w:tcW w:w="2881" w:type="dxa"/>
            <w:shd w:val="clear" w:color="auto" w:fill="auto"/>
            <w:tcMar>
              <w:top w:w="0" w:type="dxa"/>
              <w:left w:w="0" w:type="dxa"/>
              <w:bottom w:w="0" w:type="dxa"/>
              <w:right w:w="0" w:type="dxa"/>
            </w:tcMar>
            <w:vAlign w:val="center"/>
            <w:hideMark/>
          </w:tcPr>
          <w:p w14:paraId="068AEFC8"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Duratec LFG</w:t>
            </w:r>
          </w:p>
        </w:tc>
        <w:tc>
          <w:tcPr>
            <w:tcW w:w="2788" w:type="dxa"/>
            <w:shd w:val="clear" w:color="auto" w:fill="auto"/>
            <w:tcMar>
              <w:top w:w="0" w:type="dxa"/>
              <w:left w:w="0" w:type="dxa"/>
              <w:bottom w:w="0" w:type="dxa"/>
              <w:right w:w="0" w:type="dxa"/>
            </w:tcMar>
            <w:vAlign w:val="center"/>
            <w:hideMark/>
          </w:tcPr>
          <w:p w14:paraId="1B1D89C6"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Fifth Wheel Grease</w:t>
            </w:r>
          </w:p>
        </w:tc>
      </w:tr>
      <w:tr w:rsidR="00340F8E" w:rsidRPr="00340F8E" w14:paraId="74073DDA" w14:textId="77777777" w:rsidTr="00F6133D">
        <w:trPr>
          <w:trHeight w:val="418"/>
        </w:trPr>
        <w:tc>
          <w:tcPr>
            <w:tcW w:w="2881" w:type="dxa"/>
            <w:shd w:val="clear" w:color="auto" w:fill="auto"/>
            <w:tcMar>
              <w:top w:w="0" w:type="dxa"/>
              <w:left w:w="0" w:type="dxa"/>
              <w:bottom w:w="0" w:type="dxa"/>
              <w:right w:w="0" w:type="dxa"/>
            </w:tcMar>
            <w:vAlign w:val="center"/>
            <w:hideMark/>
          </w:tcPr>
          <w:p w14:paraId="1646350C"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Performance Bio</w:t>
            </w:r>
          </w:p>
        </w:tc>
        <w:tc>
          <w:tcPr>
            <w:tcW w:w="2788" w:type="dxa"/>
            <w:shd w:val="clear" w:color="auto" w:fill="auto"/>
            <w:tcMar>
              <w:top w:w="0" w:type="dxa"/>
              <w:left w:w="0" w:type="dxa"/>
              <w:bottom w:w="0" w:type="dxa"/>
              <w:right w:w="0" w:type="dxa"/>
            </w:tcMar>
            <w:vAlign w:val="center"/>
            <w:hideMark/>
          </w:tcPr>
          <w:p w14:paraId="1E6DC40F"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HD Multipurpose</w:t>
            </w:r>
          </w:p>
        </w:tc>
      </w:tr>
      <w:tr w:rsidR="00340F8E" w:rsidRPr="00340F8E" w14:paraId="53490446" w14:textId="77777777" w:rsidTr="00F6133D">
        <w:trPr>
          <w:trHeight w:val="410"/>
        </w:trPr>
        <w:tc>
          <w:tcPr>
            <w:tcW w:w="2881" w:type="dxa"/>
            <w:shd w:val="clear" w:color="auto" w:fill="auto"/>
            <w:tcMar>
              <w:top w:w="0" w:type="dxa"/>
              <w:left w:w="0" w:type="dxa"/>
              <w:bottom w:w="0" w:type="dxa"/>
              <w:right w:w="0" w:type="dxa"/>
            </w:tcMar>
            <w:vAlign w:val="center"/>
            <w:hideMark/>
          </w:tcPr>
          <w:p w14:paraId="54DCBC32"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Pyroplex Blue</w:t>
            </w:r>
          </w:p>
        </w:tc>
        <w:tc>
          <w:tcPr>
            <w:tcW w:w="2788" w:type="dxa"/>
            <w:shd w:val="clear" w:color="auto" w:fill="auto"/>
            <w:tcMar>
              <w:top w:w="0" w:type="dxa"/>
              <w:left w:w="0" w:type="dxa"/>
              <w:bottom w:w="0" w:type="dxa"/>
              <w:right w:w="0" w:type="dxa"/>
            </w:tcMar>
            <w:vAlign w:val="center"/>
            <w:hideMark/>
          </w:tcPr>
          <w:p w14:paraId="332CA88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Hyspin AWS</w:t>
            </w:r>
          </w:p>
        </w:tc>
      </w:tr>
      <w:tr w:rsidR="00340F8E" w:rsidRPr="00340F8E" w14:paraId="041514A8" w14:textId="77777777" w:rsidTr="00F6133D">
        <w:trPr>
          <w:trHeight w:val="418"/>
        </w:trPr>
        <w:tc>
          <w:tcPr>
            <w:tcW w:w="2881" w:type="dxa"/>
            <w:shd w:val="clear" w:color="auto" w:fill="auto"/>
            <w:tcMar>
              <w:top w:w="0" w:type="dxa"/>
              <w:left w:w="0" w:type="dxa"/>
              <w:bottom w:w="0" w:type="dxa"/>
              <w:right w:w="0" w:type="dxa"/>
            </w:tcMar>
            <w:vAlign w:val="center"/>
            <w:hideMark/>
          </w:tcPr>
          <w:p w14:paraId="3335E01A"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lastRenderedPageBreak/>
              <w:t>Pyroplex Gold</w:t>
            </w:r>
          </w:p>
        </w:tc>
        <w:tc>
          <w:tcPr>
            <w:tcW w:w="2788" w:type="dxa"/>
            <w:shd w:val="clear" w:color="auto" w:fill="auto"/>
            <w:tcMar>
              <w:top w:w="0" w:type="dxa"/>
              <w:left w:w="0" w:type="dxa"/>
              <w:bottom w:w="0" w:type="dxa"/>
              <w:right w:w="0" w:type="dxa"/>
            </w:tcMar>
            <w:vAlign w:val="center"/>
            <w:hideMark/>
          </w:tcPr>
          <w:p w14:paraId="34E303C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Hyspin VG</w:t>
            </w:r>
          </w:p>
        </w:tc>
      </w:tr>
      <w:tr w:rsidR="00340F8E" w:rsidRPr="00340F8E" w14:paraId="146277E1" w14:textId="77777777" w:rsidTr="00F6133D">
        <w:trPr>
          <w:trHeight w:val="418"/>
        </w:trPr>
        <w:tc>
          <w:tcPr>
            <w:tcW w:w="2881" w:type="dxa"/>
            <w:shd w:val="clear" w:color="auto" w:fill="auto"/>
            <w:tcMar>
              <w:top w:w="0" w:type="dxa"/>
              <w:left w:w="0" w:type="dxa"/>
              <w:bottom w:w="0" w:type="dxa"/>
              <w:right w:w="0" w:type="dxa"/>
            </w:tcMar>
            <w:vAlign w:val="center"/>
            <w:hideMark/>
          </w:tcPr>
          <w:p w14:paraId="37C63451"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Pyroplex Protection ES</w:t>
            </w:r>
          </w:p>
        </w:tc>
        <w:tc>
          <w:tcPr>
            <w:tcW w:w="2788" w:type="dxa"/>
            <w:shd w:val="clear" w:color="auto" w:fill="auto"/>
            <w:tcMar>
              <w:top w:w="0" w:type="dxa"/>
              <w:left w:w="0" w:type="dxa"/>
              <w:bottom w:w="0" w:type="dxa"/>
              <w:right w:w="0" w:type="dxa"/>
            </w:tcMar>
            <w:vAlign w:val="center"/>
            <w:hideMark/>
          </w:tcPr>
          <w:p w14:paraId="49D1E59C"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Pyroplex Red</w:t>
            </w:r>
          </w:p>
        </w:tc>
      </w:tr>
      <w:tr w:rsidR="00340F8E" w:rsidRPr="00340F8E" w14:paraId="01405E9F" w14:textId="77777777" w:rsidTr="00F6133D">
        <w:trPr>
          <w:trHeight w:val="418"/>
        </w:trPr>
        <w:tc>
          <w:tcPr>
            <w:tcW w:w="2881" w:type="dxa"/>
            <w:shd w:val="clear" w:color="auto" w:fill="auto"/>
            <w:tcMar>
              <w:top w:w="0" w:type="dxa"/>
              <w:left w:w="0" w:type="dxa"/>
              <w:bottom w:w="0" w:type="dxa"/>
              <w:right w:w="0" w:type="dxa"/>
            </w:tcMar>
            <w:vAlign w:val="center"/>
            <w:hideMark/>
          </w:tcPr>
          <w:p w14:paraId="209D9CED"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Radicool SF-O</w:t>
            </w:r>
          </w:p>
        </w:tc>
        <w:tc>
          <w:tcPr>
            <w:tcW w:w="2788" w:type="dxa"/>
            <w:shd w:val="clear" w:color="auto" w:fill="auto"/>
            <w:tcMar>
              <w:top w:w="0" w:type="dxa"/>
              <w:left w:w="0" w:type="dxa"/>
              <w:bottom w:w="0" w:type="dxa"/>
              <w:right w:w="0" w:type="dxa"/>
            </w:tcMar>
            <w:vAlign w:val="center"/>
            <w:hideMark/>
          </w:tcPr>
          <w:p w14:paraId="5999EDB0"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Radicool HD Premix</w:t>
            </w:r>
          </w:p>
        </w:tc>
      </w:tr>
      <w:tr w:rsidR="00340F8E" w:rsidRPr="00340F8E" w14:paraId="3438DD07" w14:textId="77777777" w:rsidTr="00F6133D">
        <w:trPr>
          <w:trHeight w:val="418"/>
        </w:trPr>
        <w:tc>
          <w:tcPr>
            <w:tcW w:w="2881" w:type="dxa"/>
            <w:shd w:val="clear" w:color="auto" w:fill="auto"/>
            <w:tcMar>
              <w:top w:w="0" w:type="dxa"/>
              <w:left w:w="0" w:type="dxa"/>
              <w:bottom w:w="0" w:type="dxa"/>
              <w:right w:w="0" w:type="dxa"/>
            </w:tcMar>
            <w:vAlign w:val="center"/>
            <w:hideMark/>
          </w:tcPr>
          <w:p w14:paraId="1D7A9989"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Trans-C HT</w:t>
            </w:r>
          </w:p>
        </w:tc>
        <w:tc>
          <w:tcPr>
            <w:tcW w:w="2788" w:type="dxa"/>
            <w:shd w:val="clear" w:color="auto" w:fill="auto"/>
            <w:tcMar>
              <w:top w:w="0" w:type="dxa"/>
              <w:left w:w="0" w:type="dxa"/>
              <w:bottom w:w="0" w:type="dxa"/>
              <w:right w:w="0" w:type="dxa"/>
            </w:tcMar>
            <w:vAlign w:val="center"/>
            <w:hideMark/>
          </w:tcPr>
          <w:p w14:paraId="0360D0DA"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Spheerol SHL</w:t>
            </w:r>
          </w:p>
        </w:tc>
      </w:tr>
      <w:tr w:rsidR="00340F8E" w:rsidRPr="00340F8E" w14:paraId="54D07D35" w14:textId="77777777" w:rsidTr="00F6133D">
        <w:trPr>
          <w:trHeight w:val="418"/>
        </w:trPr>
        <w:tc>
          <w:tcPr>
            <w:tcW w:w="2881" w:type="dxa"/>
            <w:shd w:val="clear" w:color="auto" w:fill="auto"/>
            <w:tcMar>
              <w:top w:w="0" w:type="dxa"/>
              <w:left w:w="0" w:type="dxa"/>
              <w:bottom w:w="0" w:type="dxa"/>
              <w:right w:w="0" w:type="dxa"/>
            </w:tcMar>
            <w:vAlign w:val="center"/>
            <w:hideMark/>
          </w:tcPr>
          <w:p w14:paraId="04841C9E"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TransSynd 668</w:t>
            </w:r>
          </w:p>
        </w:tc>
        <w:tc>
          <w:tcPr>
            <w:tcW w:w="2788" w:type="dxa"/>
            <w:shd w:val="clear" w:color="auto" w:fill="auto"/>
            <w:tcMar>
              <w:top w:w="0" w:type="dxa"/>
              <w:left w:w="0" w:type="dxa"/>
              <w:bottom w:w="0" w:type="dxa"/>
              <w:right w:w="0" w:type="dxa"/>
            </w:tcMar>
            <w:vAlign w:val="center"/>
            <w:hideMark/>
          </w:tcPr>
          <w:p w14:paraId="5B4A84AB"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Trans-C</w:t>
            </w:r>
          </w:p>
        </w:tc>
      </w:tr>
      <w:tr w:rsidR="00340F8E" w:rsidRPr="00340F8E" w14:paraId="1436879E" w14:textId="77777777" w:rsidTr="00F6133D">
        <w:trPr>
          <w:trHeight w:val="410"/>
        </w:trPr>
        <w:tc>
          <w:tcPr>
            <w:tcW w:w="2881" w:type="dxa"/>
            <w:shd w:val="clear" w:color="auto" w:fill="auto"/>
            <w:tcMar>
              <w:top w:w="0" w:type="dxa"/>
              <w:left w:w="0" w:type="dxa"/>
              <w:bottom w:w="0" w:type="dxa"/>
              <w:right w:w="0" w:type="dxa"/>
            </w:tcMar>
            <w:vAlign w:val="center"/>
            <w:hideMark/>
          </w:tcPr>
          <w:p w14:paraId="5D603DC2"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Syngear</w:t>
            </w:r>
          </w:p>
        </w:tc>
        <w:tc>
          <w:tcPr>
            <w:tcW w:w="2788" w:type="dxa"/>
            <w:shd w:val="clear" w:color="auto" w:fill="auto"/>
            <w:tcMar>
              <w:top w:w="0" w:type="dxa"/>
              <w:left w:w="0" w:type="dxa"/>
              <w:bottom w:w="0" w:type="dxa"/>
              <w:right w:w="0" w:type="dxa"/>
            </w:tcMar>
            <w:vAlign w:val="center"/>
            <w:hideMark/>
          </w:tcPr>
          <w:p w14:paraId="502E1DB5"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Universal Tractor Fluid</w:t>
            </w:r>
          </w:p>
        </w:tc>
      </w:tr>
      <w:tr w:rsidR="00340F8E" w:rsidRPr="00340F8E" w14:paraId="71858627" w14:textId="77777777" w:rsidTr="00F6133D">
        <w:trPr>
          <w:trHeight w:val="418"/>
        </w:trPr>
        <w:tc>
          <w:tcPr>
            <w:tcW w:w="2881" w:type="dxa"/>
            <w:shd w:val="clear" w:color="auto" w:fill="auto"/>
            <w:tcMar>
              <w:top w:w="0" w:type="dxa"/>
              <w:left w:w="0" w:type="dxa"/>
              <w:bottom w:w="0" w:type="dxa"/>
              <w:right w:w="0" w:type="dxa"/>
            </w:tcMar>
            <w:vAlign w:val="center"/>
            <w:hideMark/>
          </w:tcPr>
          <w:p w14:paraId="0AFD6A3B"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Syntrans</w:t>
            </w:r>
          </w:p>
        </w:tc>
        <w:tc>
          <w:tcPr>
            <w:tcW w:w="2788" w:type="dxa"/>
            <w:shd w:val="clear" w:color="auto" w:fill="auto"/>
            <w:tcMar>
              <w:top w:w="0" w:type="dxa"/>
              <w:left w:w="0" w:type="dxa"/>
              <w:bottom w:w="0" w:type="dxa"/>
              <w:right w:w="0" w:type="dxa"/>
            </w:tcMar>
            <w:vAlign w:val="center"/>
            <w:hideMark/>
          </w:tcPr>
          <w:p w14:paraId="36E104E5" w14:textId="77777777" w:rsidR="00340F8E" w:rsidRPr="00340F8E" w:rsidRDefault="00340F8E" w:rsidP="00340F8E">
            <w:pPr>
              <w:spacing w:line="240" w:lineRule="auto"/>
              <w:rPr>
                <w:rFonts w:ascii="Arial" w:hAnsi="Arial" w:cs="Arial"/>
                <w:sz w:val="20"/>
                <w:szCs w:val="20"/>
              </w:rPr>
            </w:pPr>
          </w:p>
        </w:tc>
      </w:tr>
      <w:tr w:rsidR="00340F8E" w:rsidRPr="00340F8E" w14:paraId="1EAD532F" w14:textId="77777777" w:rsidTr="00F6133D">
        <w:trPr>
          <w:trHeight w:val="418"/>
        </w:trPr>
        <w:tc>
          <w:tcPr>
            <w:tcW w:w="2881" w:type="dxa"/>
            <w:shd w:val="clear" w:color="auto" w:fill="auto"/>
            <w:tcMar>
              <w:top w:w="0" w:type="dxa"/>
              <w:left w:w="0" w:type="dxa"/>
              <w:bottom w:w="0" w:type="dxa"/>
              <w:right w:w="0" w:type="dxa"/>
            </w:tcMar>
            <w:vAlign w:val="center"/>
            <w:hideMark/>
          </w:tcPr>
          <w:p w14:paraId="2A787284" w14:textId="77777777" w:rsidR="00340F8E" w:rsidRPr="00340F8E" w:rsidRDefault="00340F8E" w:rsidP="00340F8E">
            <w:pPr>
              <w:spacing w:line="240" w:lineRule="auto"/>
              <w:rPr>
                <w:rFonts w:ascii="Arial" w:hAnsi="Arial" w:cs="Arial"/>
                <w:sz w:val="20"/>
                <w:szCs w:val="20"/>
              </w:rPr>
            </w:pPr>
            <w:r w:rsidRPr="00340F8E">
              <w:rPr>
                <w:rFonts w:ascii="Arial" w:hAnsi="Arial" w:cs="Arial"/>
                <w:sz w:val="20"/>
                <w:szCs w:val="20"/>
              </w:rPr>
              <w:t>Vecton®</w:t>
            </w:r>
          </w:p>
        </w:tc>
        <w:tc>
          <w:tcPr>
            <w:tcW w:w="2788" w:type="dxa"/>
            <w:shd w:val="clear" w:color="auto" w:fill="auto"/>
            <w:tcMar>
              <w:top w:w="0" w:type="dxa"/>
              <w:left w:w="0" w:type="dxa"/>
              <w:bottom w:w="0" w:type="dxa"/>
              <w:right w:w="0" w:type="dxa"/>
            </w:tcMar>
            <w:vAlign w:val="center"/>
            <w:hideMark/>
          </w:tcPr>
          <w:p w14:paraId="69CDFE9A" w14:textId="77777777" w:rsidR="00340F8E" w:rsidRPr="00340F8E" w:rsidRDefault="00340F8E" w:rsidP="00340F8E">
            <w:pPr>
              <w:spacing w:line="240" w:lineRule="auto"/>
              <w:rPr>
                <w:rFonts w:ascii="Arial" w:hAnsi="Arial" w:cs="Arial"/>
                <w:sz w:val="20"/>
                <w:szCs w:val="20"/>
              </w:rPr>
            </w:pPr>
          </w:p>
        </w:tc>
      </w:tr>
    </w:tbl>
    <w:p w14:paraId="59BFA8C9" w14:textId="77777777" w:rsidR="00F6133D" w:rsidRPr="00F6133D" w:rsidRDefault="00F6133D" w:rsidP="00340F8E">
      <w:pPr>
        <w:pStyle w:val="NoSpacing"/>
        <w:rPr>
          <w:rFonts w:ascii="Arial" w:hAnsi="Arial" w:cs="Arial"/>
          <w:sz w:val="18"/>
          <w:szCs w:val="18"/>
        </w:rPr>
      </w:pPr>
    </w:p>
    <w:p w14:paraId="5843EAE0" w14:textId="3EE10668" w:rsidR="00340F8E" w:rsidRPr="00340F8E" w:rsidRDefault="00340F8E" w:rsidP="00340F8E">
      <w:pPr>
        <w:pStyle w:val="NoSpacing"/>
        <w:rPr>
          <w:rFonts w:ascii="Arial" w:hAnsi="Arial" w:cs="Arial"/>
          <w:sz w:val="20"/>
          <w:szCs w:val="20"/>
        </w:rPr>
      </w:pPr>
      <w:r w:rsidRPr="00340F8E">
        <w:rPr>
          <w:rFonts w:ascii="Arial" w:hAnsi="Arial" w:cs="Arial"/>
          <w:sz w:val="20"/>
          <w:szCs w:val="20"/>
        </w:rPr>
        <w:t>Program Participants will begin earning points based on the program outlined herein for new accounts and existing business effective 1/1/2024.</w:t>
      </w:r>
    </w:p>
    <w:p w14:paraId="40968B7C" w14:textId="71002406" w:rsidR="00340F8E" w:rsidRPr="00340F8E" w:rsidRDefault="00340F8E" w:rsidP="00340F8E">
      <w:pPr>
        <w:pStyle w:val="NoSpacing"/>
        <w:rPr>
          <w:rFonts w:ascii="Arial" w:hAnsi="Arial" w:cs="Arial"/>
          <w:sz w:val="20"/>
          <w:szCs w:val="20"/>
        </w:rPr>
      </w:pPr>
    </w:p>
    <w:p w14:paraId="30BA03E3" w14:textId="2D72E242" w:rsidR="00340F8E" w:rsidRPr="00340F8E" w:rsidRDefault="00340F8E" w:rsidP="00340F8E">
      <w:pPr>
        <w:pStyle w:val="NoSpacing"/>
        <w:rPr>
          <w:rFonts w:ascii="Arial" w:hAnsi="Arial" w:cs="Arial"/>
          <w:sz w:val="20"/>
          <w:szCs w:val="20"/>
        </w:rPr>
      </w:pPr>
      <w:r w:rsidRPr="00340F8E">
        <w:rPr>
          <w:rFonts w:ascii="Arial" w:hAnsi="Arial" w:cs="Arial"/>
          <w:sz w:val="20"/>
          <w:szCs w:val="20"/>
        </w:rPr>
        <w:t>Program Participants must claim an account in the IMI subject to approval by Castrol ASM/DBM.</w:t>
      </w:r>
      <w:r w:rsidRPr="00340F8E">
        <w:rPr>
          <w:rFonts w:ascii="Arial" w:hAnsi="Arial" w:cs="Arial"/>
          <w:sz w:val="20"/>
          <w:szCs w:val="20"/>
        </w:rPr>
        <w:br/>
      </w:r>
    </w:p>
    <w:p w14:paraId="41487AAD" w14:textId="4C18381D" w:rsidR="00340F8E" w:rsidRPr="00340F8E" w:rsidRDefault="00340F8E" w:rsidP="00340F8E">
      <w:pPr>
        <w:pStyle w:val="NoSpacing"/>
        <w:rPr>
          <w:rFonts w:ascii="Arial" w:hAnsi="Arial" w:cs="Arial"/>
          <w:sz w:val="20"/>
          <w:szCs w:val="20"/>
        </w:rPr>
      </w:pPr>
      <w:r w:rsidRPr="00340F8E">
        <w:rPr>
          <w:rFonts w:ascii="Arial" w:hAnsi="Arial" w:cs="Arial"/>
          <w:sz w:val="20"/>
          <w:szCs w:val="20"/>
        </w:rPr>
        <w:t>Program Participants must mark an account as “new” during the account claiming process in the IMI by selecting either “Yes” or “No” when prompted.</w:t>
      </w:r>
    </w:p>
    <w:p w14:paraId="674D4918" w14:textId="77777777" w:rsidR="00340F8E" w:rsidRPr="00340F8E" w:rsidRDefault="00340F8E" w:rsidP="00340F8E">
      <w:pPr>
        <w:pStyle w:val="NoSpacing"/>
        <w:rPr>
          <w:rFonts w:ascii="Arial" w:hAnsi="Arial" w:cs="Arial"/>
          <w:sz w:val="20"/>
          <w:szCs w:val="20"/>
        </w:rPr>
      </w:pPr>
    </w:p>
    <w:p w14:paraId="14970B34"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The Assigned Distributor Sales Manager will earn 10% of DSR earnings paid quarterly. DSRs will be assigned to a DSM in the IMI by the Castrol ASM/DBM.</w:t>
      </w:r>
    </w:p>
    <w:p w14:paraId="019580E4" w14:textId="7C72563C" w:rsidR="00340F8E" w:rsidRPr="00340F8E" w:rsidRDefault="00340F8E" w:rsidP="00340F8E">
      <w:pPr>
        <w:pStyle w:val="NoSpacing"/>
        <w:rPr>
          <w:rFonts w:ascii="Arial" w:hAnsi="Arial" w:cs="Arial"/>
          <w:sz w:val="20"/>
          <w:szCs w:val="20"/>
        </w:rPr>
      </w:pPr>
    </w:p>
    <w:p w14:paraId="5F7E6ABE"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The Installer must purchase less than 250 gallons in Castrol product for the previous 12 months in order to qualify as a “new account”.</w:t>
      </w:r>
    </w:p>
    <w:p w14:paraId="0FD1D28B" w14:textId="1AFA16E1" w:rsidR="00340F8E" w:rsidRPr="00340F8E" w:rsidRDefault="00340F8E" w:rsidP="00340F8E">
      <w:pPr>
        <w:pStyle w:val="NoSpacing"/>
        <w:rPr>
          <w:rFonts w:ascii="Arial" w:hAnsi="Arial" w:cs="Arial"/>
          <w:sz w:val="20"/>
          <w:szCs w:val="20"/>
        </w:rPr>
      </w:pPr>
    </w:p>
    <w:p w14:paraId="7F86E36D"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The Installer must purchase a minimum of 1,000 gallons per year (250 gallons per quarter) of Castrol product to qualify for the new account bonus.</w:t>
      </w:r>
    </w:p>
    <w:p w14:paraId="74CFD0FE" w14:textId="074C8491" w:rsidR="00340F8E" w:rsidRPr="00340F8E" w:rsidRDefault="00340F8E" w:rsidP="00340F8E">
      <w:pPr>
        <w:pStyle w:val="NoSpacing"/>
        <w:rPr>
          <w:rFonts w:ascii="Arial" w:hAnsi="Arial" w:cs="Arial"/>
          <w:sz w:val="20"/>
          <w:szCs w:val="20"/>
        </w:rPr>
      </w:pPr>
    </w:p>
    <w:p w14:paraId="63919EFA"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The New Account Bonus will be paid upon a new accounts annualized volume after a 92 day verification period (92 days from the first invoice date) and will remain eligible to earn a new account bonus for a period of 12 months from the first invoice date. Example: If a new account purchases a minimum of 250 gallons, but not more than 749 gallons, after the 92 day verification period, the DSR user will be rewarded the corresponding bonus of 100,000 points. If the account does not reach this threshold within the first 12 months of purchases, the bonus will not be paid. Volume greater than or equal to 750 gallons over a 92 day verification period will award the program participant with the appropriate bonus point amount shown in the corresponding value listed in the Program Bonus and Product Values section of these Terms and Conditions.</w:t>
      </w:r>
    </w:p>
    <w:p w14:paraId="648CBCA7" w14:textId="1D866573" w:rsidR="00340F8E" w:rsidRPr="00340F8E" w:rsidRDefault="00340F8E" w:rsidP="00340F8E">
      <w:pPr>
        <w:pStyle w:val="NoSpacing"/>
        <w:rPr>
          <w:rFonts w:ascii="Arial" w:hAnsi="Arial" w:cs="Arial"/>
          <w:sz w:val="20"/>
          <w:szCs w:val="20"/>
        </w:rPr>
      </w:pPr>
    </w:p>
    <w:p w14:paraId="3642D3D2" w14:textId="544CF726" w:rsidR="00340F8E" w:rsidRPr="00340F8E" w:rsidRDefault="00340F8E" w:rsidP="00340F8E">
      <w:pPr>
        <w:pStyle w:val="NoSpacing"/>
        <w:rPr>
          <w:rFonts w:ascii="Arial" w:hAnsi="Arial" w:cs="Arial"/>
          <w:sz w:val="20"/>
          <w:szCs w:val="20"/>
        </w:rPr>
      </w:pPr>
      <w:r w:rsidRPr="00340F8E">
        <w:rPr>
          <w:rFonts w:ascii="Arial" w:hAnsi="Arial" w:cs="Arial"/>
          <w:sz w:val="20"/>
          <w:szCs w:val="20"/>
        </w:rPr>
        <w:t>Accounts that have been obtained through distributor conversion do not qualify as a “new account”.</w:t>
      </w:r>
    </w:p>
    <w:p w14:paraId="7C6FA391" w14:textId="77777777" w:rsidR="00340F8E" w:rsidRPr="00340F8E" w:rsidRDefault="00340F8E" w:rsidP="00340F8E">
      <w:pPr>
        <w:pStyle w:val="NoSpacing"/>
        <w:rPr>
          <w:rFonts w:ascii="Arial" w:hAnsi="Arial" w:cs="Arial"/>
          <w:sz w:val="20"/>
          <w:szCs w:val="20"/>
        </w:rPr>
      </w:pPr>
    </w:p>
    <w:p w14:paraId="3CC4E51F"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Large national accounts with multiple locations are subject to approval by Castrol and qualification for program rewards is at the sole discretion of Castrol and BP Lubricants USA</w:t>
      </w:r>
    </w:p>
    <w:p w14:paraId="68565D7A" w14:textId="77777777" w:rsidR="00340F8E" w:rsidRPr="00340F8E" w:rsidRDefault="00340F8E" w:rsidP="00340F8E">
      <w:pPr>
        <w:pStyle w:val="NoSpacing"/>
        <w:rPr>
          <w:rFonts w:ascii="Arial" w:hAnsi="Arial" w:cs="Arial"/>
          <w:sz w:val="20"/>
          <w:szCs w:val="20"/>
        </w:rPr>
      </w:pPr>
    </w:p>
    <w:p w14:paraId="799813F9" w14:textId="6C53DD1C" w:rsidR="00340F8E" w:rsidRPr="00340F8E" w:rsidRDefault="00340F8E" w:rsidP="00340F8E">
      <w:pPr>
        <w:pStyle w:val="NoSpacing"/>
        <w:rPr>
          <w:rFonts w:ascii="Arial" w:hAnsi="Arial" w:cs="Arial"/>
          <w:b/>
          <w:bCs/>
          <w:sz w:val="20"/>
          <w:szCs w:val="20"/>
          <w:u w:val="single"/>
        </w:rPr>
      </w:pPr>
      <w:r w:rsidRPr="00340F8E">
        <w:rPr>
          <w:rFonts w:ascii="Arial" w:hAnsi="Arial" w:cs="Arial"/>
          <w:b/>
          <w:bCs/>
          <w:sz w:val="20"/>
          <w:szCs w:val="20"/>
          <w:u w:val="single"/>
        </w:rPr>
        <w:t>EXCLUSIONS:</w:t>
      </w:r>
    </w:p>
    <w:p w14:paraId="5A433B1B"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PCO and Specialty National (DFF) Accounts*</w:t>
      </w:r>
    </w:p>
    <w:p w14:paraId="603F5A31"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HD/IND Specialty National (DFF) Accounts</w:t>
      </w:r>
    </w:p>
    <w:p w14:paraId="7973EC67" w14:textId="77777777" w:rsidR="00340F8E" w:rsidRPr="00340F8E" w:rsidRDefault="00340F8E" w:rsidP="00340F8E">
      <w:pPr>
        <w:pStyle w:val="NoSpacing"/>
        <w:rPr>
          <w:rFonts w:ascii="Arial" w:hAnsi="Arial" w:cs="Arial"/>
          <w:sz w:val="20"/>
          <w:szCs w:val="20"/>
        </w:rPr>
      </w:pPr>
      <w:r w:rsidRPr="00340F8E">
        <w:rPr>
          <w:rFonts w:ascii="Arial" w:hAnsi="Arial" w:cs="Arial"/>
          <w:sz w:val="20"/>
          <w:szCs w:val="20"/>
        </w:rPr>
        <w:t>HD/IND Specialty General Industrial Business</w:t>
      </w:r>
    </w:p>
    <w:p w14:paraId="500EE9DC" w14:textId="52745423" w:rsidR="00971B3C" w:rsidRPr="00340F8E" w:rsidRDefault="00340F8E" w:rsidP="00340F8E">
      <w:pPr>
        <w:pStyle w:val="NoSpacing"/>
      </w:pPr>
      <w:r w:rsidRPr="00340F8E">
        <w:rPr>
          <w:rFonts w:ascii="Arial" w:hAnsi="Arial" w:cs="Arial"/>
          <w:sz w:val="20"/>
          <w:szCs w:val="20"/>
        </w:rPr>
        <w:t>Partner OEM New Car Dealer</w:t>
      </w:r>
      <w:r w:rsidRPr="00340F8E">
        <w:t xml:space="preserve"> (DFF) Accounts</w:t>
      </w:r>
    </w:p>
    <w:sectPr w:rsidR="00971B3C" w:rsidRPr="00340F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6C0E" w14:textId="77777777" w:rsidR="00340F8E" w:rsidRDefault="00340F8E" w:rsidP="00340F8E">
      <w:pPr>
        <w:spacing w:after="0" w:line="240" w:lineRule="auto"/>
      </w:pPr>
      <w:r>
        <w:separator/>
      </w:r>
    </w:p>
  </w:endnote>
  <w:endnote w:type="continuationSeparator" w:id="0">
    <w:p w14:paraId="4DFD5CDE" w14:textId="77777777" w:rsidR="00340F8E" w:rsidRDefault="00340F8E" w:rsidP="0034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893A" w14:textId="1B95874D" w:rsidR="00340F8E" w:rsidRPr="00340F8E" w:rsidRDefault="00340F8E" w:rsidP="00340F8E">
    <w:pPr>
      <w:rPr>
        <w:rFonts w:ascii="Arial" w:hAnsi="Arial" w:cs="Arial"/>
        <w:sz w:val="20"/>
        <w:szCs w:val="20"/>
      </w:rPr>
    </w:pPr>
    <w:r w:rsidRPr="00340F8E">
      <w:rPr>
        <w:rFonts w:ascii="Arial" w:hAnsi="Arial" w:cs="Arial"/>
        <w:sz w:val="20"/>
        <w:szCs w:val="20"/>
      </w:rPr>
      <w:t>© BP Lubricants.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C102" w14:textId="77777777" w:rsidR="00340F8E" w:rsidRDefault="00340F8E" w:rsidP="00340F8E">
      <w:pPr>
        <w:spacing w:after="0" w:line="240" w:lineRule="auto"/>
      </w:pPr>
      <w:r>
        <w:separator/>
      </w:r>
    </w:p>
  </w:footnote>
  <w:footnote w:type="continuationSeparator" w:id="0">
    <w:p w14:paraId="55BA8D9E" w14:textId="77777777" w:rsidR="00340F8E" w:rsidRDefault="00340F8E" w:rsidP="0034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E9D5" w14:textId="32C1B00D" w:rsidR="00340F8E" w:rsidRPr="00340F8E" w:rsidRDefault="00340F8E">
    <w:pPr>
      <w:pStyle w:val="Header"/>
      <w:rPr>
        <w:rFonts w:ascii="Arial" w:hAnsi="Arial" w:cs="Arial"/>
        <w:b/>
        <w:bCs/>
        <w:sz w:val="40"/>
        <w:szCs w:val="40"/>
      </w:rPr>
    </w:pPr>
    <w:r w:rsidRPr="00340F8E">
      <w:rPr>
        <w:rFonts w:ascii="Arial" w:hAnsi="Arial" w:cs="Arial"/>
        <w:b/>
        <w:bCs/>
        <w:sz w:val="40"/>
        <w:szCs w:val="40"/>
      </w:rPr>
      <w:t xml:space="preserve">2025 SCORE </w:t>
    </w:r>
    <w:r w:rsidR="005A32CD">
      <w:rPr>
        <w:rFonts w:ascii="Arial" w:hAnsi="Arial" w:cs="Arial"/>
        <w:b/>
        <w:bCs/>
        <w:sz w:val="40"/>
        <w:szCs w:val="40"/>
      </w:rPr>
      <w:t>Re</w:t>
    </w:r>
    <w:r w:rsidRPr="00340F8E">
      <w:rPr>
        <w:rFonts w:ascii="Arial" w:hAnsi="Arial" w:cs="Arial"/>
        <w:b/>
        <w:bCs/>
        <w:sz w:val="40"/>
        <w:szCs w:val="40"/>
      </w:rPr>
      <w:t>wards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DD3"/>
    <w:multiLevelType w:val="multilevel"/>
    <w:tmpl w:val="C43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94156"/>
    <w:multiLevelType w:val="multilevel"/>
    <w:tmpl w:val="A7C8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31EF8"/>
    <w:multiLevelType w:val="multilevel"/>
    <w:tmpl w:val="B0A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F5BF9"/>
    <w:multiLevelType w:val="multilevel"/>
    <w:tmpl w:val="50A2C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74273"/>
    <w:multiLevelType w:val="multilevel"/>
    <w:tmpl w:val="F53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47014"/>
    <w:multiLevelType w:val="multilevel"/>
    <w:tmpl w:val="E79A9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455992">
    <w:abstractNumId w:val="3"/>
  </w:num>
  <w:num w:numId="2" w16cid:durableId="1857185796">
    <w:abstractNumId w:val="5"/>
  </w:num>
  <w:num w:numId="3" w16cid:durableId="1493764151">
    <w:abstractNumId w:val="1"/>
  </w:num>
  <w:num w:numId="4" w16cid:durableId="1231426484">
    <w:abstractNumId w:val="4"/>
  </w:num>
  <w:num w:numId="5" w16cid:durableId="354158199">
    <w:abstractNumId w:val="0"/>
  </w:num>
  <w:num w:numId="6" w16cid:durableId="4430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E"/>
    <w:rsid w:val="000542DD"/>
    <w:rsid w:val="002753BC"/>
    <w:rsid w:val="00340F8E"/>
    <w:rsid w:val="003A50B9"/>
    <w:rsid w:val="005A32CD"/>
    <w:rsid w:val="00971B3C"/>
    <w:rsid w:val="00D33597"/>
    <w:rsid w:val="00F6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B04D"/>
  <w15:chartTrackingRefBased/>
  <w15:docId w15:val="{1FEA3430-89DE-48B8-AD55-E32609A0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8E"/>
    <w:rPr>
      <w:rFonts w:eastAsiaTheme="majorEastAsia" w:cstheme="majorBidi"/>
      <w:color w:val="272727" w:themeColor="text1" w:themeTint="D8"/>
    </w:rPr>
  </w:style>
  <w:style w:type="paragraph" w:styleId="Title">
    <w:name w:val="Title"/>
    <w:basedOn w:val="Normal"/>
    <w:next w:val="Normal"/>
    <w:link w:val="TitleChar"/>
    <w:uiPriority w:val="10"/>
    <w:qFormat/>
    <w:rsid w:val="00340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8E"/>
    <w:pPr>
      <w:spacing w:before="160"/>
      <w:jc w:val="center"/>
    </w:pPr>
    <w:rPr>
      <w:i/>
      <w:iCs/>
      <w:color w:val="404040" w:themeColor="text1" w:themeTint="BF"/>
    </w:rPr>
  </w:style>
  <w:style w:type="character" w:customStyle="1" w:styleId="QuoteChar">
    <w:name w:val="Quote Char"/>
    <w:basedOn w:val="DefaultParagraphFont"/>
    <w:link w:val="Quote"/>
    <w:uiPriority w:val="29"/>
    <w:rsid w:val="00340F8E"/>
    <w:rPr>
      <w:i/>
      <w:iCs/>
      <w:color w:val="404040" w:themeColor="text1" w:themeTint="BF"/>
    </w:rPr>
  </w:style>
  <w:style w:type="paragraph" w:styleId="ListParagraph">
    <w:name w:val="List Paragraph"/>
    <w:basedOn w:val="Normal"/>
    <w:uiPriority w:val="34"/>
    <w:qFormat/>
    <w:rsid w:val="00340F8E"/>
    <w:pPr>
      <w:ind w:left="720"/>
      <w:contextualSpacing/>
    </w:pPr>
  </w:style>
  <w:style w:type="character" w:styleId="IntenseEmphasis">
    <w:name w:val="Intense Emphasis"/>
    <w:basedOn w:val="DefaultParagraphFont"/>
    <w:uiPriority w:val="21"/>
    <w:qFormat/>
    <w:rsid w:val="00340F8E"/>
    <w:rPr>
      <w:i/>
      <w:iCs/>
      <w:color w:val="0F4761" w:themeColor="accent1" w:themeShade="BF"/>
    </w:rPr>
  </w:style>
  <w:style w:type="paragraph" w:styleId="IntenseQuote">
    <w:name w:val="Intense Quote"/>
    <w:basedOn w:val="Normal"/>
    <w:next w:val="Normal"/>
    <w:link w:val="IntenseQuoteChar"/>
    <w:uiPriority w:val="30"/>
    <w:qFormat/>
    <w:rsid w:val="00340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F8E"/>
    <w:rPr>
      <w:i/>
      <w:iCs/>
      <w:color w:val="0F4761" w:themeColor="accent1" w:themeShade="BF"/>
    </w:rPr>
  </w:style>
  <w:style w:type="character" w:styleId="IntenseReference">
    <w:name w:val="Intense Reference"/>
    <w:basedOn w:val="DefaultParagraphFont"/>
    <w:uiPriority w:val="32"/>
    <w:qFormat/>
    <w:rsid w:val="00340F8E"/>
    <w:rPr>
      <w:b/>
      <w:bCs/>
      <w:smallCaps/>
      <w:color w:val="0F4761" w:themeColor="accent1" w:themeShade="BF"/>
      <w:spacing w:val="5"/>
    </w:rPr>
  </w:style>
  <w:style w:type="paragraph" w:styleId="Header">
    <w:name w:val="header"/>
    <w:basedOn w:val="Normal"/>
    <w:link w:val="HeaderChar"/>
    <w:uiPriority w:val="99"/>
    <w:unhideWhenUsed/>
    <w:rsid w:val="0034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8E"/>
  </w:style>
  <w:style w:type="paragraph" w:styleId="Footer">
    <w:name w:val="footer"/>
    <w:basedOn w:val="Normal"/>
    <w:link w:val="FooterChar"/>
    <w:uiPriority w:val="99"/>
    <w:unhideWhenUsed/>
    <w:rsid w:val="0034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8E"/>
  </w:style>
  <w:style w:type="character" w:styleId="Hyperlink">
    <w:name w:val="Hyperlink"/>
    <w:basedOn w:val="DefaultParagraphFont"/>
    <w:uiPriority w:val="99"/>
    <w:unhideWhenUsed/>
    <w:rsid w:val="00340F8E"/>
    <w:rPr>
      <w:color w:val="467886" w:themeColor="hyperlink"/>
      <w:u w:val="single"/>
    </w:rPr>
  </w:style>
  <w:style w:type="character" w:styleId="UnresolvedMention">
    <w:name w:val="Unresolved Mention"/>
    <w:basedOn w:val="DefaultParagraphFont"/>
    <w:uiPriority w:val="99"/>
    <w:semiHidden/>
    <w:unhideWhenUsed/>
    <w:rsid w:val="00340F8E"/>
    <w:rPr>
      <w:color w:val="605E5C"/>
      <w:shd w:val="clear" w:color="auto" w:fill="E1DFDD"/>
    </w:rPr>
  </w:style>
  <w:style w:type="paragraph" w:styleId="NoSpacing">
    <w:name w:val="No Spacing"/>
    <w:uiPriority w:val="1"/>
    <w:qFormat/>
    <w:rsid w:val="00340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4123">
      <w:bodyDiv w:val="1"/>
      <w:marLeft w:val="0"/>
      <w:marRight w:val="0"/>
      <w:marTop w:val="0"/>
      <w:marBottom w:val="0"/>
      <w:divBdr>
        <w:top w:val="none" w:sz="0" w:space="0" w:color="auto"/>
        <w:left w:val="none" w:sz="0" w:space="0" w:color="auto"/>
        <w:bottom w:val="none" w:sz="0" w:space="0" w:color="auto"/>
        <w:right w:val="none" w:sz="0" w:space="0" w:color="auto"/>
      </w:divBdr>
      <w:divsChild>
        <w:div w:id="616062778">
          <w:marLeft w:val="0"/>
          <w:marRight w:val="0"/>
          <w:marTop w:val="0"/>
          <w:marBottom w:val="0"/>
          <w:divBdr>
            <w:top w:val="none" w:sz="0" w:space="0" w:color="auto"/>
            <w:left w:val="none" w:sz="0" w:space="0" w:color="auto"/>
            <w:bottom w:val="none" w:sz="0" w:space="0" w:color="auto"/>
            <w:right w:val="none" w:sz="0" w:space="0" w:color="auto"/>
          </w:divBdr>
          <w:divsChild>
            <w:div w:id="574626482">
              <w:marLeft w:val="0"/>
              <w:marRight w:val="0"/>
              <w:marTop w:val="0"/>
              <w:marBottom w:val="0"/>
              <w:divBdr>
                <w:top w:val="none" w:sz="0" w:space="0" w:color="auto"/>
                <w:left w:val="none" w:sz="0" w:space="0" w:color="auto"/>
                <w:bottom w:val="none" w:sz="0" w:space="0" w:color="auto"/>
                <w:right w:val="none" w:sz="0" w:space="0" w:color="auto"/>
              </w:divBdr>
              <w:divsChild>
                <w:div w:id="830371746">
                  <w:marLeft w:val="0"/>
                  <w:marRight w:val="0"/>
                  <w:marTop w:val="0"/>
                  <w:marBottom w:val="0"/>
                  <w:divBdr>
                    <w:top w:val="none" w:sz="0" w:space="0" w:color="auto"/>
                    <w:left w:val="none" w:sz="0" w:space="0" w:color="auto"/>
                    <w:bottom w:val="none" w:sz="0" w:space="0" w:color="auto"/>
                    <w:right w:val="none" w:sz="0" w:space="0" w:color="auto"/>
                  </w:divBdr>
                  <w:divsChild>
                    <w:div w:id="4546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2436">
          <w:marLeft w:val="0"/>
          <w:marRight w:val="0"/>
          <w:marTop w:val="0"/>
          <w:marBottom w:val="0"/>
          <w:divBdr>
            <w:top w:val="none" w:sz="0" w:space="0" w:color="auto"/>
            <w:left w:val="none" w:sz="0" w:space="0" w:color="auto"/>
            <w:bottom w:val="none" w:sz="0" w:space="0" w:color="auto"/>
            <w:right w:val="none" w:sz="0" w:space="0" w:color="auto"/>
          </w:divBdr>
        </w:div>
      </w:divsChild>
    </w:div>
    <w:div w:id="1420713833">
      <w:bodyDiv w:val="1"/>
      <w:marLeft w:val="0"/>
      <w:marRight w:val="0"/>
      <w:marTop w:val="0"/>
      <w:marBottom w:val="0"/>
      <w:divBdr>
        <w:top w:val="none" w:sz="0" w:space="0" w:color="auto"/>
        <w:left w:val="none" w:sz="0" w:space="0" w:color="auto"/>
        <w:bottom w:val="none" w:sz="0" w:space="0" w:color="auto"/>
        <w:right w:val="none" w:sz="0" w:space="0" w:color="auto"/>
      </w:divBdr>
      <w:divsChild>
        <w:div w:id="1040130271">
          <w:marLeft w:val="0"/>
          <w:marRight w:val="0"/>
          <w:marTop w:val="0"/>
          <w:marBottom w:val="0"/>
          <w:divBdr>
            <w:top w:val="none" w:sz="0" w:space="0" w:color="auto"/>
            <w:left w:val="none" w:sz="0" w:space="0" w:color="auto"/>
            <w:bottom w:val="none" w:sz="0" w:space="0" w:color="auto"/>
            <w:right w:val="none" w:sz="0" w:space="0" w:color="auto"/>
          </w:divBdr>
          <w:divsChild>
            <w:div w:id="1656300384">
              <w:marLeft w:val="0"/>
              <w:marRight w:val="0"/>
              <w:marTop w:val="0"/>
              <w:marBottom w:val="0"/>
              <w:divBdr>
                <w:top w:val="none" w:sz="0" w:space="0" w:color="auto"/>
                <w:left w:val="none" w:sz="0" w:space="0" w:color="auto"/>
                <w:bottom w:val="none" w:sz="0" w:space="0" w:color="auto"/>
                <w:right w:val="none" w:sz="0" w:space="0" w:color="auto"/>
              </w:divBdr>
              <w:divsChild>
                <w:div w:id="1731421477">
                  <w:marLeft w:val="0"/>
                  <w:marRight w:val="0"/>
                  <w:marTop w:val="0"/>
                  <w:marBottom w:val="0"/>
                  <w:divBdr>
                    <w:top w:val="none" w:sz="0" w:space="0" w:color="auto"/>
                    <w:left w:val="none" w:sz="0" w:space="0" w:color="auto"/>
                    <w:bottom w:val="none" w:sz="0" w:space="0" w:color="auto"/>
                    <w:right w:val="none" w:sz="0" w:space="0" w:color="auto"/>
                  </w:divBdr>
                  <w:divsChild>
                    <w:div w:id="5724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1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trolstreetview.com/IMI/Customer/DistributorRe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9bf4a9-87bd-4dbf-a36c-1db5158e5def}" enabled="1" method="Privileged" siteId="{ea80952e-a476-42d4-aaf4-5457852b0f7e}"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Vincent</dc:creator>
  <cp:keywords/>
  <dc:description/>
  <cp:lastModifiedBy>Farinella, Vincent</cp:lastModifiedBy>
  <cp:revision>3</cp:revision>
  <dcterms:created xsi:type="dcterms:W3CDTF">2025-06-06T09:53:00Z</dcterms:created>
  <dcterms:modified xsi:type="dcterms:W3CDTF">2025-06-06T10:23:00Z</dcterms:modified>
</cp:coreProperties>
</file>